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4E0" w:rsidRDefault="001B64E0" w:rsidP="001B64E0">
      <w:pPr>
        <w:jc w:val="center"/>
        <w:rPr>
          <w:b/>
          <w:sz w:val="32"/>
          <w:szCs w:val="32"/>
        </w:rPr>
      </w:pPr>
    </w:p>
    <w:p w:rsidR="001B64E0" w:rsidRPr="001B64E0" w:rsidRDefault="002E676F" w:rsidP="001B64E0">
      <w:pPr>
        <w:jc w:val="center"/>
        <w:rPr>
          <w:b/>
          <w:sz w:val="32"/>
          <w:szCs w:val="32"/>
        </w:rPr>
      </w:pPr>
      <w:r>
        <w:rPr>
          <w:b/>
          <w:noProof/>
          <w:sz w:val="26"/>
          <w:szCs w:val="2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pt;margin-top:49.7pt;width:77.3pt;height:107.6pt;z-index:251660288;mso-position-vertical-relative:page" o:allowincell="f">
            <v:imagedata r:id="rId6" o:title=""/>
            <w10:wrap type="square" anchory="page"/>
          </v:shape>
          <o:OLEObject Type="Embed" ProgID="MSPhotoEd.3" ShapeID="_x0000_s1026" DrawAspect="Content" ObjectID="_1520841432" r:id="rId7"/>
        </w:object>
      </w:r>
      <w:r w:rsidR="001B64E0" w:rsidRPr="001B64E0">
        <w:rPr>
          <w:b/>
          <w:sz w:val="32"/>
          <w:szCs w:val="32"/>
        </w:rPr>
        <w:t>COMENTÁRIOS E SUGESTÕES CONSOLIDADOS</w:t>
      </w:r>
    </w:p>
    <w:p w:rsidR="001B64E0" w:rsidRPr="001B64E0" w:rsidRDefault="001B64E0" w:rsidP="001B64E0">
      <w:pPr>
        <w:jc w:val="center"/>
        <w:rPr>
          <w:b/>
          <w:sz w:val="26"/>
          <w:szCs w:val="26"/>
        </w:rPr>
      </w:pPr>
      <w:r w:rsidRPr="001B64E0">
        <w:rPr>
          <w:b/>
          <w:sz w:val="26"/>
          <w:szCs w:val="26"/>
        </w:rPr>
        <w:t xml:space="preserve">CONSULTA PÚBLICA N° </w:t>
      </w:r>
      <w:r w:rsidR="003335AF">
        <w:rPr>
          <w:b/>
          <w:sz w:val="26"/>
          <w:szCs w:val="26"/>
        </w:rPr>
        <w:t>5</w:t>
      </w:r>
      <w:r w:rsidRPr="001B64E0">
        <w:rPr>
          <w:b/>
          <w:sz w:val="26"/>
          <w:szCs w:val="26"/>
        </w:rPr>
        <w:t xml:space="preserve">/2016 - DE </w:t>
      </w:r>
      <w:r w:rsidR="003335AF">
        <w:rPr>
          <w:b/>
          <w:sz w:val="26"/>
          <w:szCs w:val="26"/>
        </w:rPr>
        <w:t>08</w:t>
      </w:r>
      <w:r w:rsidRPr="001B64E0">
        <w:rPr>
          <w:b/>
          <w:sz w:val="26"/>
          <w:szCs w:val="26"/>
        </w:rPr>
        <w:t>/0</w:t>
      </w:r>
      <w:r w:rsidR="003335AF">
        <w:rPr>
          <w:b/>
          <w:sz w:val="26"/>
          <w:szCs w:val="26"/>
        </w:rPr>
        <w:t>2</w:t>
      </w:r>
      <w:r w:rsidRPr="001B64E0">
        <w:rPr>
          <w:b/>
          <w:sz w:val="26"/>
          <w:szCs w:val="26"/>
        </w:rPr>
        <w:t xml:space="preserve">/2016 a </w:t>
      </w:r>
      <w:r w:rsidR="003335AF">
        <w:rPr>
          <w:b/>
          <w:sz w:val="26"/>
          <w:szCs w:val="26"/>
        </w:rPr>
        <w:t>08</w:t>
      </w:r>
      <w:r w:rsidRPr="001B64E0">
        <w:rPr>
          <w:b/>
          <w:sz w:val="26"/>
          <w:szCs w:val="26"/>
        </w:rPr>
        <w:t>/0</w:t>
      </w:r>
      <w:r w:rsidR="003335AF">
        <w:rPr>
          <w:b/>
          <w:sz w:val="26"/>
          <w:szCs w:val="26"/>
        </w:rPr>
        <w:t>3</w:t>
      </w:r>
      <w:r w:rsidRPr="001B64E0">
        <w:rPr>
          <w:b/>
          <w:sz w:val="26"/>
          <w:szCs w:val="26"/>
        </w:rPr>
        <w:t>/2016</w:t>
      </w:r>
    </w:p>
    <w:p w:rsidR="001B64E0" w:rsidRPr="001B64E0" w:rsidRDefault="001B64E0" w:rsidP="001B64E0">
      <w:pPr>
        <w:jc w:val="center"/>
        <w:rPr>
          <w:b/>
          <w:sz w:val="26"/>
          <w:szCs w:val="26"/>
        </w:rPr>
      </w:pPr>
    </w:p>
    <w:p w:rsidR="001B64E0" w:rsidRPr="003335AF" w:rsidRDefault="001B64E0" w:rsidP="001B64E0">
      <w:pPr>
        <w:ind w:left="4111"/>
        <w:jc w:val="center"/>
        <w:rPr>
          <w:b/>
          <w:bCs/>
          <w:sz w:val="24"/>
          <w:szCs w:val="24"/>
        </w:rPr>
      </w:pPr>
    </w:p>
    <w:tbl>
      <w:tblPr>
        <w:tblW w:w="14986" w:type="dxa"/>
        <w:tblInd w:w="-871" w:type="dxa"/>
        <w:tblLayout w:type="fixed"/>
        <w:tblCellMar>
          <w:left w:w="0" w:type="dxa"/>
          <w:right w:w="0" w:type="dxa"/>
        </w:tblCellMar>
        <w:tblLook w:val="0000" w:firstRow="0" w:lastRow="0" w:firstColumn="0" w:lastColumn="0" w:noHBand="0" w:noVBand="0"/>
      </w:tblPr>
      <w:tblGrid>
        <w:gridCol w:w="1018"/>
        <w:gridCol w:w="1198"/>
        <w:gridCol w:w="7165"/>
        <w:gridCol w:w="5605"/>
      </w:tblGrid>
      <w:tr w:rsidR="001B64E0" w:rsidRPr="003335AF" w:rsidTr="00FE3463">
        <w:trPr>
          <w:trHeight w:val="269"/>
        </w:trPr>
        <w:tc>
          <w:tcPr>
            <w:tcW w:w="14986" w:type="dxa"/>
            <w:gridSpan w:val="4"/>
            <w:tcBorders>
              <w:top w:val="single" w:sz="4" w:space="0" w:color="auto"/>
              <w:left w:val="single" w:sz="4" w:space="0" w:color="auto"/>
              <w:bottom w:val="single" w:sz="4" w:space="0" w:color="auto"/>
              <w:right w:val="single" w:sz="4" w:space="0" w:color="auto"/>
            </w:tcBorders>
            <w:shd w:val="clear" w:color="auto" w:fill="70B56B"/>
          </w:tcPr>
          <w:p w:rsidR="001B64E0" w:rsidRPr="003335AF" w:rsidRDefault="003335AF" w:rsidP="001B64E0">
            <w:pPr>
              <w:autoSpaceDE w:val="0"/>
              <w:autoSpaceDN w:val="0"/>
              <w:adjustRightInd w:val="0"/>
              <w:jc w:val="both"/>
              <w:rPr>
                <w:b/>
                <w:bCs/>
                <w:sz w:val="24"/>
                <w:szCs w:val="24"/>
              </w:rPr>
            </w:pPr>
            <w:r w:rsidRPr="003335AF">
              <w:rPr>
                <w:b/>
                <w:bCs/>
                <w:sz w:val="24"/>
                <w:szCs w:val="24"/>
              </w:rPr>
              <w:t>Consulta Pública sobre a minuta de revisão da Resolução ANP nº 02/2011, que estabelece a especificação do óleo diesel B8 a B20 para uso experimental em frotas cativas ou em equipamento industrial, nos termos da Resolução.</w:t>
            </w:r>
          </w:p>
        </w:tc>
      </w:tr>
      <w:tr w:rsidR="00FE3463" w:rsidRPr="001B64E0" w:rsidTr="00FE3463">
        <w:trPr>
          <w:trHeight w:val="124"/>
        </w:trPr>
        <w:tc>
          <w:tcPr>
            <w:tcW w:w="1018" w:type="dxa"/>
            <w:tcBorders>
              <w:top w:val="single" w:sz="4" w:space="0" w:color="auto"/>
              <w:left w:val="single" w:sz="4" w:space="0" w:color="auto"/>
              <w:bottom w:val="single" w:sz="4" w:space="0" w:color="auto"/>
              <w:right w:val="single" w:sz="4" w:space="0" w:color="auto"/>
            </w:tcBorders>
            <w:shd w:val="clear" w:color="auto" w:fill="C2D69B"/>
          </w:tcPr>
          <w:p w:rsidR="001B64E0" w:rsidRPr="0076262A" w:rsidRDefault="001B64E0" w:rsidP="0076262A">
            <w:pPr>
              <w:spacing w:before="120" w:after="120"/>
              <w:jc w:val="center"/>
              <w:rPr>
                <w:bCs/>
                <w:sz w:val="24"/>
                <w:szCs w:val="24"/>
              </w:rPr>
            </w:pPr>
            <w:r w:rsidRPr="0076262A">
              <w:rPr>
                <w:bCs/>
                <w:sz w:val="24"/>
                <w:szCs w:val="24"/>
              </w:rPr>
              <w:t>AUTOR</w:t>
            </w:r>
          </w:p>
        </w:tc>
        <w:tc>
          <w:tcPr>
            <w:tcW w:w="1198" w:type="dxa"/>
            <w:tcBorders>
              <w:top w:val="single" w:sz="4" w:space="0" w:color="auto"/>
              <w:left w:val="single" w:sz="4" w:space="0" w:color="auto"/>
              <w:bottom w:val="single" w:sz="4" w:space="0" w:color="auto"/>
              <w:right w:val="single" w:sz="4" w:space="0" w:color="auto"/>
            </w:tcBorders>
            <w:shd w:val="clear" w:color="auto" w:fill="C2D69B"/>
            <w:tcMar>
              <w:top w:w="20" w:type="dxa"/>
              <w:left w:w="20" w:type="dxa"/>
              <w:bottom w:w="0" w:type="dxa"/>
              <w:right w:w="20" w:type="dxa"/>
            </w:tcMar>
            <w:vAlign w:val="center"/>
          </w:tcPr>
          <w:p w:rsidR="001B64E0" w:rsidRPr="0076262A" w:rsidRDefault="001B64E0" w:rsidP="0076262A">
            <w:pPr>
              <w:spacing w:before="120" w:after="120"/>
              <w:jc w:val="center"/>
              <w:rPr>
                <w:rFonts w:eastAsia="Arial Unicode MS"/>
                <w:bCs/>
                <w:sz w:val="24"/>
                <w:szCs w:val="24"/>
              </w:rPr>
            </w:pPr>
            <w:r w:rsidRPr="0076262A">
              <w:rPr>
                <w:bCs/>
                <w:sz w:val="24"/>
                <w:szCs w:val="24"/>
              </w:rPr>
              <w:t>ARTIGO DA MINUTA</w:t>
            </w:r>
          </w:p>
        </w:tc>
        <w:tc>
          <w:tcPr>
            <w:tcW w:w="7165" w:type="dxa"/>
            <w:tcBorders>
              <w:top w:val="single" w:sz="4" w:space="0" w:color="auto"/>
              <w:left w:val="nil"/>
              <w:bottom w:val="single" w:sz="4" w:space="0" w:color="auto"/>
              <w:right w:val="single" w:sz="4" w:space="0" w:color="auto"/>
            </w:tcBorders>
            <w:shd w:val="clear" w:color="auto" w:fill="C2D69B"/>
            <w:tcMar>
              <w:top w:w="20" w:type="dxa"/>
              <w:left w:w="20" w:type="dxa"/>
              <w:bottom w:w="0" w:type="dxa"/>
              <w:right w:w="20" w:type="dxa"/>
            </w:tcMar>
            <w:vAlign w:val="center"/>
          </w:tcPr>
          <w:p w:rsidR="001B64E0" w:rsidRPr="0076262A" w:rsidRDefault="001B64E0" w:rsidP="0076262A">
            <w:pPr>
              <w:jc w:val="center"/>
              <w:rPr>
                <w:rFonts w:eastAsia="Arial Unicode MS"/>
                <w:bCs/>
                <w:sz w:val="24"/>
                <w:szCs w:val="24"/>
              </w:rPr>
            </w:pPr>
            <w:r w:rsidRPr="0076262A">
              <w:rPr>
                <w:bCs/>
                <w:sz w:val="24"/>
                <w:szCs w:val="24"/>
              </w:rPr>
              <w:t>PROPOSTA DE ALTERAÇÃO</w:t>
            </w:r>
          </w:p>
        </w:tc>
        <w:tc>
          <w:tcPr>
            <w:tcW w:w="5605" w:type="dxa"/>
            <w:tcBorders>
              <w:top w:val="single" w:sz="4" w:space="0" w:color="auto"/>
              <w:left w:val="nil"/>
              <w:bottom w:val="single" w:sz="4" w:space="0" w:color="auto"/>
              <w:right w:val="single" w:sz="4" w:space="0" w:color="auto"/>
            </w:tcBorders>
            <w:shd w:val="clear" w:color="auto" w:fill="C2D69B"/>
            <w:tcMar>
              <w:top w:w="20" w:type="dxa"/>
              <w:left w:w="20" w:type="dxa"/>
              <w:bottom w:w="0" w:type="dxa"/>
              <w:right w:w="20" w:type="dxa"/>
            </w:tcMar>
            <w:vAlign w:val="center"/>
          </w:tcPr>
          <w:p w:rsidR="001B64E0" w:rsidRPr="0076262A" w:rsidRDefault="001B64E0" w:rsidP="0076262A">
            <w:pPr>
              <w:jc w:val="center"/>
              <w:rPr>
                <w:rFonts w:eastAsia="Arial Unicode MS"/>
                <w:bCs/>
                <w:sz w:val="24"/>
                <w:szCs w:val="24"/>
              </w:rPr>
            </w:pPr>
            <w:r w:rsidRPr="0076262A">
              <w:rPr>
                <w:bCs/>
                <w:sz w:val="24"/>
                <w:szCs w:val="24"/>
              </w:rPr>
              <w:t>JUSTIFICATIVA</w:t>
            </w:r>
          </w:p>
        </w:tc>
      </w:tr>
      <w:tr w:rsidR="00D570C5"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D570C5" w:rsidRPr="0076262A" w:rsidRDefault="00D570C5" w:rsidP="0076262A">
            <w:pPr>
              <w:pStyle w:val="NormalWeb"/>
              <w:spacing w:before="120" w:beforeAutospacing="0" w:after="120" w:afterAutospacing="0" w:line="276" w:lineRule="auto"/>
              <w:jc w:val="center"/>
            </w:pPr>
            <w:r w:rsidRPr="0076262A">
              <w:rPr>
                <w:rFonts w:eastAsia="Arial Unicode MS"/>
                <w:color w:val="000000"/>
                <w:kern w:val="24"/>
              </w:rPr>
              <w:t>ANP</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D570C5" w:rsidRPr="0076262A" w:rsidRDefault="00D570C5" w:rsidP="0076262A">
            <w:pPr>
              <w:pStyle w:val="NormalWeb"/>
              <w:spacing w:before="120" w:beforeAutospacing="0" w:after="120" w:afterAutospacing="0" w:line="276" w:lineRule="auto"/>
              <w:jc w:val="center"/>
            </w:pPr>
            <w:r w:rsidRPr="0076262A">
              <w:rPr>
                <w:rFonts w:eastAsia="Arial Unicode MS"/>
                <w:color w:val="000000"/>
                <w:kern w:val="24"/>
              </w:rPr>
              <w:t>-</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D570C5" w:rsidRPr="0076262A" w:rsidRDefault="00D570C5" w:rsidP="0076262A">
            <w:pPr>
              <w:pStyle w:val="NormalWeb"/>
              <w:spacing w:before="0" w:beforeAutospacing="0" w:after="120" w:afterAutospacing="0" w:line="276" w:lineRule="auto"/>
              <w:ind w:left="115" w:right="115"/>
              <w:jc w:val="center"/>
            </w:pPr>
            <w:r w:rsidRPr="0076262A">
              <w:rPr>
                <w:rFonts w:eastAsia="Arial Unicode MS"/>
                <w:color w:val="000000"/>
                <w:kern w:val="24"/>
              </w:rPr>
              <w:t>Retirar as Tabelas I, II e III do Regulamento Técnico, que contém as nomenclaturas dos métodos e Renomear a o Regulamento Técnico como ANEXO I.</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D570C5" w:rsidRPr="0076262A" w:rsidRDefault="00D570C5" w:rsidP="0076262A">
            <w:pPr>
              <w:pStyle w:val="NormalWeb"/>
              <w:spacing w:before="0" w:beforeAutospacing="0" w:after="120" w:afterAutospacing="0" w:line="276" w:lineRule="auto"/>
              <w:ind w:left="115" w:right="115"/>
              <w:jc w:val="center"/>
            </w:pPr>
            <w:r w:rsidRPr="0076262A">
              <w:rPr>
                <w:rFonts w:eastAsia="Arial Unicode MS"/>
                <w:color w:val="000000"/>
                <w:kern w:val="24"/>
              </w:rPr>
              <w:t>Adequar a Resolução ao novo padrão de elaboração de resoluções.</w:t>
            </w:r>
          </w:p>
        </w:tc>
      </w:tr>
      <w:tr w:rsidR="00892A96"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892A96" w:rsidRPr="0076262A" w:rsidRDefault="00892A96" w:rsidP="0076262A">
            <w:pPr>
              <w:pStyle w:val="NormalWeb"/>
              <w:spacing w:before="120" w:beforeAutospacing="0" w:after="120" w:afterAutospacing="0" w:line="276" w:lineRule="auto"/>
              <w:jc w:val="center"/>
              <w:rPr>
                <w:rFonts w:eastAsia="Arial Unicode MS"/>
                <w:color w:val="000000"/>
                <w:kern w:val="24"/>
              </w:rPr>
            </w:pPr>
            <w:r w:rsidRPr="0076262A">
              <w:rPr>
                <w:rFonts w:eastAsia="Arial Unicode MS"/>
                <w:color w:val="000000"/>
                <w:kern w:val="24"/>
              </w:rPr>
              <w:t>ANP</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2A96" w:rsidRPr="0076262A" w:rsidRDefault="00892A96" w:rsidP="0076262A">
            <w:pPr>
              <w:pStyle w:val="NormalWeb"/>
              <w:spacing w:before="120" w:beforeAutospacing="0" w:after="120" w:afterAutospacing="0" w:line="276" w:lineRule="auto"/>
              <w:jc w:val="center"/>
              <w:rPr>
                <w:rFonts w:eastAsia="Arial Unicode MS"/>
                <w:color w:val="000000"/>
                <w:kern w:val="24"/>
              </w:rPr>
            </w:pPr>
            <w:r w:rsidRPr="0076262A">
              <w:rPr>
                <w:rFonts w:eastAsia="Arial Unicode MS"/>
                <w:color w:val="000000"/>
                <w:kern w:val="24"/>
              </w:rPr>
              <w:t>Art. 1º</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2A96" w:rsidRPr="0076262A" w:rsidRDefault="00892A96" w:rsidP="0076262A">
            <w:pPr>
              <w:pStyle w:val="NormalWeb"/>
              <w:spacing w:before="0" w:beforeAutospacing="0" w:after="120" w:afterAutospacing="0" w:line="276" w:lineRule="auto"/>
              <w:ind w:left="115" w:right="115"/>
              <w:jc w:val="center"/>
              <w:rPr>
                <w:rFonts w:eastAsia="Arial Unicode MS"/>
                <w:color w:val="000000"/>
                <w:kern w:val="24"/>
              </w:rPr>
            </w:pPr>
            <w:r w:rsidRPr="0076262A">
              <w:rPr>
                <w:rFonts w:eastAsia="Arial Unicode MS"/>
                <w:color w:val="000000"/>
                <w:kern w:val="24"/>
              </w:rPr>
              <w:t>Retirar o parágrafo único do Art. 1º</w:t>
            </w:r>
          </w:p>
          <w:p w:rsidR="00892A96" w:rsidRPr="0076262A" w:rsidRDefault="00892A96" w:rsidP="0076262A">
            <w:pPr>
              <w:pStyle w:val="NormalWeb"/>
              <w:spacing w:before="0" w:beforeAutospacing="0" w:after="120" w:afterAutospacing="0" w:line="276" w:lineRule="auto"/>
              <w:ind w:left="115" w:right="115"/>
              <w:jc w:val="center"/>
              <w:rPr>
                <w:rFonts w:eastAsia="Arial Unicode MS"/>
                <w:color w:val="000000"/>
                <w:kern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2A96" w:rsidRPr="0076262A" w:rsidRDefault="00892A96" w:rsidP="0076262A">
            <w:pPr>
              <w:pStyle w:val="NormalWeb"/>
              <w:spacing w:before="0" w:beforeAutospacing="0" w:after="120" w:afterAutospacing="0" w:line="276" w:lineRule="auto"/>
              <w:ind w:left="115" w:right="115"/>
              <w:jc w:val="center"/>
              <w:rPr>
                <w:rFonts w:eastAsia="Arial Unicode MS"/>
                <w:color w:val="000000"/>
                <w:kern w:val="24"/>
              </w:rPr>
            </w:pPr>
            <w:r w:rsidRPr="0076262A">
              <w:t>O parágrafo único faz parte das regras a serem seguidas no uso experimental, específico, ou em eventos, previstas nas Resoluções ANP nº 18/2007 e 02/2008 (em revisão nesta ANP). Assim, entende-se ser mais apropriado que este parágrafo faça parte das supracitadas resoluções em revisão.</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416498" w:rsidP="0076262A">
            <w:pPr>
              <w:spacing w:before="120" w:after="120"/>
              <w:jc w:val="center"/>
              <w:rPr>
                <w:rFonts w:eastAsia="Arial Unicode MS"/>
                <w:bCs/>
                <w:sz w:val="24"/>
                <w:szCs w:val="24"/>
              </w:rPr>
            </w:pPr>
            <w:r w:rsidRPr="0076262A">
              <w:rPr>
                <w:rFonts w:eastAsia="Arial Unicode MS"/>
                <w:bCs/>
                <w:sz w:val="24"/>
                <w:szCs w:val="24"/>
              </w:rPr>
              <w:t>IBP</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b/>
                <w:bCs/>
                <w:sz w:val="24"/>
                <w:szCs w:val="24"/>
              </w:rPr>
            </w:pPr>
            <w:r w:rsidRPr="0076262A">
              <w:rPr>
                <w:b/>
                <w:bCs/>
                <w:sz w:val="24"/>
                <w:szCs w:val="24"/>
              </w:rPr>
              <w:t>Art. 5º, parágrafo 1º</w:t>
            </w:r>
          </w:p>
          <w:p w:rsidR="00416498" w:rsidRPr="0076262A" w:rsidRDefault="00416498" w:rsidP="0076262A">
            <w:pPr>
              <w:jc w:val="center"/>
              <w:rPr>
                <w:rFonts w:eastAsia="Arial Unicode MS"/>
                <w:b/>
                <w:bCs/>
                <w:color w:val="000000"/>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color w:val="000000"/>
                <w:sz w:val="24"/>
                <w:szCs w:val="24"/>
              </w:rPr>
            </w:pPr>
            <w:r w:rsidRPr="0076262A">
              <w:rPr>
                <w:color w:val="000000"/>
                <w:sz w:val="24"/>
                <w:szCs w:val="24"/>
              </w:rPr>
              <w:t>Incluir no Inciso I as seguintes análises como obrigatórias no Boletim de Conformidade: ponto de entupimento e teor de biodiesel</w:t>
            </w:r>
          </w:p>
          <w:p w:rsidR="00416498" w:rsidRPr="0076262A" w:rsidRDefault="00416498" w:rsidP="0076262A">
            <w:pPr>
              <w:jc w:val="center"/>
              <w:rPr>
                <w:color w:val="000000"/>
                <w:sz w:val="24"/>
                <w:szCs w:val="24"/>
              </w:rPr>
            </w:pPr>
          </w:p>
          <w:p w:rsidR="00416498" w:rsidRPr="0076262A" w:rsidRDefault="00416498" w:rsidP="0076262A">
            <w:pPr>
              <w:jc w:val="center"/>
              <w:rPr>
                <w:rFonts w:eastAsia="Arial Unicode MS"/>
                <w:i/>
                <w:color w:val="000000"/>
                <w:sz w:val="24"/>
                <w:szCs w:val="24"/>
              </w:rPr>
            </w:pPr>
            <w:r w:rsidRPr="0076262A">
              <w:rPr>
                <w:rFonts w:eastAsia="Arial Unicode MS"/>
                <w:i/>
                <w:color w:val="000000"/>
                <w:sz w:val="24"/>
                <w:szCs w:val="24"/>
              </w:rPr>
              <w:t xml:space="preserve">I - resultados de análises para as seguintes características: aspecto, cor visual, ponto de fulgor, massa específica, condutividade elétrica, destilação, número de acidez e teor de água, </w:t>
            </w:r>
            <w:r w:rsidRPr="0076262A">
              <w:rPr>
                <w:i/>
                <w:color w:val="FF0000"/>
                <w:sz w:val="24"/>
                <w:szCs w:val="24"/>
              </w:rPr>
              <w:t>teor de biodiesel e ponto de entupimento</w:t>
            </w:r>
            <w:r w:rsidRPr="0076262A">
              <w:rPr>
                <w:rFonts w:eastAsia="Arial Unicode MS"/>
                <w:i/>
                <w:color w:val="000000"/>
                <w:sz w:val="24"/>
                <w:szCs w:val="24"/>
              </w:rPr>
              <w:t xml:space="preserve">, com indicação dos métodos empregados e os respectivos </w:t>
            </w:r>
            <w:r w:rsidRPr="0076262A">
              <w:rPr>
                <w:rFonts w:eastAsia="Arial Unicode MS"/>
                <w:i/>
                <w:color w:val="000000"/>
                <w:sz w:val="24"/>
                <w:szCs w:val="24"/>
              </w:rPr>
              <w:lastRenderedPageBreak/>
              <w:t>limites constantes da especificação, conforme Regulamento Técnico ANP, parte integrante desta Resolução;</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p>
          <w:p w:rsidR="00416498" w:rsidRPr="0076262A" w:rsidRDefault="00416498" w:rsidP="0076262A">
            <w:pPr>
              <w:jc w:val="center"/>
              <w:rPr>
                <w:sz w:val="24"/>
                <w:szCs w:val="24"/>
              </w:rPr>
            </w:pPr>
            <w:r w:rsidRPr="0076262A">
              <w:rPr>
                <w:sz w:val="24"/>
                <w:szCs w:val="24"/>
              </w:rPr>
              <w:t>A determinação do teor de biodiesel é necessária para um melhor controle da tributação do biodiesel.</w:t>
            </w:r>
          </w:p>
          <w:p w:rsidR="00416498" w:rsidRPr="0076262A" w:rsidRDefault="00416498" w:rsidP="0076262A">
            <w:pPr>
              <w:jc w:val="center"/>
              <w:rPr>
                <w:sz w:val="24"/>
                <w:szCs w:val="24"/>
              </w:rPr>
            </w:pPr>
          </w:p>
          <w:p w:rsidR="00416498" w:rsidRPr="0076262A" w:rsidRDefault="00416498" w:rsidP="0076262A">
            <w:pPr>
              <w:jc w:val="center"/>
              <w:rPr>
                <w:sz w:val="24"/>
                <w:szCs w:val="24"/>
              </w:rPr>
            </w:pPr>
            <w:r w:rsidRPr="0076262A">
              <w:rPr>
                <w:sz w:val="24"/>
                <w:szCs w:val="24"/>
              </w:rPr>
              <w:t>Inclusão da análise de ponto de entupimento como mandatória, uma vez que diferentes tipos de biodiesel impactam na qualidade da mistura final.</w:t>
            </w:r>
          </w:p>
          <w:p w:rsidR="00416498" w:rsidRPr="0076262A" w:rsidRDefault="00416498" w:rsidP="0076262A">
            <w:pPr>
              <w:jc w:val="center"/>
              <w:rPr>
                <w:rFonts w:eastAsia="Arial Unicode MS"/>
                <w:sz w:val="24"/>
                <w:szCs w:val="24"/>
              </w:rPr>
            </w:pP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416498" w:rsidP="0076262A">
            <w:pPr>
              <w:spacing w:before="120" w:after="120"/>
              <w:jc w:val="center"/>
              <w:rPr>
                <w:rFonts w:eastAsia="Arial Unicode MS"/>
                <w:bCs/>
                <w:sz w:val="24"/>
                <w:szCs w:val="24"/>
              </w:rPr>
            </w:pPr>
            <w:r w:rsidRPr="0076262A">
              <w:rPr>
                <w:rFonts w:eastAsia="Arial Unicode MS"/>
                <w:bCs/>
                <w:sz w:val="24"/>
                <w:szCs w:val="24"/>
              </w:rPr>
              <w:t>IBP</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b/>
                <w:bCs/>
                <w:sz w:val="24"/>
                <w:szCs w:val="24"/>
              </w:rPr>
            </w:pPr>
            <w:r w:rsidRPr="0076262A">
              <w:rPr>
                <w:b/>
                <w:bCs/>
                <w:sz w:val="24"/>
                <w:szCs w:val="24"/>
              </w:rPr>
              <w:t>ANEXO I, RT, Tabela V</w:t>
            </w:r>
          </w:p>
          <w:p w:rsidR="00416498" w:rsidRPr="0076262A" w:rsidRDefault="00416498" w:rsidP="0076262A">
            <w:pPr>
              <w:jc w:val="center"/>
              <w:rPr>
                <w:rFonts w:eastAsia="Arial Unicode MS"/>
                <w:b/>
                <w:bCs/>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r w:rsidRPr="0076262A">
              <w:rPr>
                <w:sz w:val="24"/>
                <w:szCs w:val="24"/>
              </w:rPr>
              <w:t>Tabela V - Ponto de Entupimento de Filtro a Frio</w:t>
            </w:r>
          </w:p>
          <w:p w:rsidR="00416498" w:rsidRPr="0076262A" w:rsidRDefault="00416498" w:rsidP="0076262A">
            <w:pPr>
              <w:jc w:val="center"/>
              <w:rPr>
                <w:rFonts w:eastAsia="Arial Unicode MS"/>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r w:rsidRPr="0076262A">
              <w:rPr>
                <w:sz w:val="24"/>
                <w:szCs w:val="24"/>
              </w:rPr>
              <w:t>Ressaltamos que se deve reavaliar os limites máximos estabelecidos das temperaturas utilizadas no ensaio.</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416498" w:rsidP="0076262A">
            <w:pPr>
              <w:spacing w:before="120" w:after="120"/>
              <w:jc w:val="center"/>
              <w:rPr>
                <w:sz w:val="24"/>
                <w:szCs w:val="24"/>
              </w:rPr>
            </w:pPr>
            <w:r w:rsidRPr="0076262A">
              <w:rPr>
                <w:rFonts w:eastAsia="Arial Unicode MS"/>
                <w:bCs/>
                <w:sz w:val="24"/>
                <w:szCs w:val="24"/>
              </w:rPr>
              <w:t>IBP</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b/>
                <w:sz w:val="24"/>
                <w:szCs w:val="24"/>
              </w:rPr>
            </w:pPr>
            <w:r w:rsidRPr="0076262A">
              <w:rPr>
                <w:b/>
                <w:sz w:val="24"/>
                <w:szCs w:val="24"/>
              </w:rPr>
              <w:t>ANEXO I, RT, Tabela IV</w:t>
            </w:r>
          </w:p>
          <w:p w:rsidR="00416498" w:rsidRPr="0076262A" w:rsidRDefault="00416498" w:rsidP="0076262A">
            <w:pPr>
              <w:jc w:val="center"/>
              <w:rPr>
                <w:rFonts w:eastAsia="Arial Unicode MS"/>
                <w:b/>
                <w:bCs/>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r w:rsidRPr="0076262A">
              <w:rPr>
                <w:sz w:val="24"/>
                <w:szCs w:val="24"/>
              </w:rPr>
              <w:t>Incluir no Regulamento Técnico da presente minuta:</w:t>
            </w:r>
          </w:p>
          <w:p w:rsidR="00416498" w:rsidRPr="0076262A" w:rsidRDefault="00416498" w:rsidP="0076262A">
            <w:pPr>
              <w:jc w:val="center"/>
              <w:rPr>
                <w:sz w:val="24"/>
                <w:szCs w:val="24"/>
              </w:rPr>
            </w:pPr>
          </w:p>
          <w:p w:rsidR="00416498" w:rsidRPr="0076262A" w:rsidRDefault="00416498" w:rsidP="0076262A">
            <w:pPr>
              <w:jc w:val="center"/>
              <w:rPr>
                <w:sz w:val="24"/>
                <w:szCs w:val="24"/>
              </w:rPr>
            </w:pPr>
            <w:r w:rsidRPr="0076262A">
              <w:rPr>
                <w:sz w:val="24"/>
                <w:szCs w:val="24"/>
              </w:rPr>
              <w:t>Tabela IV - Especificação do óleo diesel B8 a B30.</w:t>
            </w:r>
          </w:p>
          <w:p w:rsidR="00416498" w:rsidRPr="0076262A" w:rsidRDefault="00416498" w:rsidP="0076262A">
            <w:pPr>
              <w:jc w:val="center"/>
              <w:rPr>
                <w:sz w:val="24"/>
                <w:szCs w:val="24"/>
              </w:rPr>
            </w:pPr>
            <w:r w:rsidRPr="0076262A">
              <w:rPr>
                <w:sz w:val="24"/>
                <w:szCs w:val="24"/>
              </w:rPr>
              <w:t>CARACTERÍSTICA:  Condutividade elétrica</w:t>
            </w:r>
          </w:p>
          <w:p w:rsidR="00416498" w:rsidRPr="0076262A" w:rsidRDefault="00416498" w:rsidP="0076262A">
            <w:pPr>
              <w:jc w:val="center"/>
              <w:rPr>
                <w:sz w:val="24"/>
                <w:szCs w:val="24"/>
              </w:rPr>
            </w:pPr>
          </w:p>
          <w:p w:rsidR="00416498" w:rsidRPr="0076262A" w:rsidRDefault="00416498" w:rsidP="0076262A">
            <w:pPr>
              <w:jc w:val="center"/>
              <w:rPr>
                <w:sz w:val="24"/>
                <w:szCs w:val="24"/>
              </w:rPr>
            </w:pPr>
            <w:r w:rsidRPr="0076262A">
              <w:rPr>
                <w:sz w:val="24"/>
                <w:szCs w:val="24"/>
              </w:rPr>
              <w:t xml:space="preserve">S1800 LIMITE: </w:t>
            </w:r>
            <w:r w:rsidRPr="0076262A">
              <w:rPr>
                <w:strike/>
                <w:sz w:val="24"/>
                <w:szCs w:val="24"/>
              </w:rPr>
              <w:t>Anotar</w:t>
            </w:r>
            <w:r w:rsidRPr="0076262A">
              <w:rPr>
                <w:sz w:val="24"/>
                <w:szCs w:val="24"/>
              </w:rPr>
              <w:t xml:space="preserve"> </w:t>
            </w:r>
            <w:r w:rsidRPr="0076262A">
              <w:rPr>
                <w:color w:val="FF0000"/>
                <w:sz w:val="24"/>
                <w:szCs w:val="24"/>
              </w:rPr>
              <w:t>25</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sz w:val="24"/>
                <w:szCs w:val="24"/>
              </w:rPr>
            </w:pPr>
            <w:r w:rsidRPr="0076262A">
              <w:rPr>
                <w:sz w:val="24"/>
                <w:szCs w:val="24"/>
              </w:rPr>
              <w:t>Item de segurança. Trabalhar fora desse limite fornece durante sua operação, como por exemplo, trabalho em área confinada.</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416498" w:rsidP="0076262A">
            <w:pPr>
              <w:spacing w:before="120" w:after="120"/>
              <w:jc w:val="center"/>
              <w:rPr>
                <w:rFonts w:eastAsia="Arial Unicode MS"/>
                <w:bCs/>
                <w:sz w:val="24"/>
                <w:szCs w:val="24"/>
              </w:rPr>
            </w:pPr>
            <w:r w:rsidRPr="0076262A">
              <w:rPr>
                <w:rFonts w:eastAsia="Arial Unicode MS"/>
                <w:bCs/>
                <w:sz w:val="24"/>
                <w:szCs w:val="24"/>
              </w:rPr>
              <w:t>IBP</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b/>
                <w:sz w:val="24"/>
                <w:szCs w:val="24"/>
              </w:rPr>
            </w:pPr>
            <w:r w:rsidRPr="0076262A">
              <w:rPr>
                <w:b/>
                <w:sz w:val="24"/>
                <w:szCs w:val="24"/>
              </w:rPr>
              <w:t>ANEXO I, RT, Tabela IV</w:t>
            </w:r>
          </w:p>
          <w:p w:rsidR="00416498" w:rsidRPr="0076262A" w:rsidRDefault="00416498" w:rsidP="0076262A">
            <w:pPr>
              <w:jc w:val="center"/>
              <w:rPr>
                <w:b/>
                <w:bCs/>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r w:rsidRPr="0076262A">
              <w:rPr>
                <w:sz w:val="24"/>
                <w:szCs w:val="24"/>
              </w:rPr>
              <w:t>Incluir no Regulamento Técnico da presente minuta:</w:t>
            </w:r>
          </w:p>
          <w:p w:rsidR="00416498" w:rsidRPr="0076262A" w:rsidRDefault="00416498" w:rsidP="0076262A">
            <w:pPr>
              <w:jc w:val="center"/>
              <w:rPr>
                <w:sz w:val="24"/>
                <w:szCs w:val="24"/>
              </w:rPr>
            </w:pPr>
          </w:p>
          <w:p w:rsidR="00416498" w:rsidRPr="0076262A" w:rsidRDefault="00416498" w:rsidP="0076262A">
            <w:pPr>
              <w:jc w:val="center"/>
              <w:rPr>
                <w:sz w:val="24"/>
                <w:szCs w:val="24"/>
              </w:rPr>
            </w:pPr>
            <w:r w:rsidRPr="0076262A">
              <w:rPr>
                <w:sz w:val="24"/>
                <w:szCs w:val="24"/>
              </w:rPr>
              <w:t>Tabela IV</w:t>
            </w:r>
          </w:p>
          <w:p w:rsidR="00416498" w:rsidRPr="0076262A" w:rsidRDefault="00416498" w:rsidP="0076262A">
            <w:pPr>
              <w:jc w:val="center"/>
              <w:rPr>
                <w:sz w:val="24"/>
                <w:szCs w:val="24"/>
              </w:rPr>
            </w:pPr>
            <w:r w:rsidRPr="0076262A">
              <w:rPr>
                <w:sz w:val="24"/>
                <w:szCs w:val="24"/>
              </w:rPr>
              <w:t>CARACTERÍSTICA:  Estabilidade à oxidação</w:t>
            </w:r>
          </w:p>
          <w:p w:rsidR="00416498" w:rsidRPr="0076262A" w:rsidRDefault="00416498" w:rsidP="0076262A">
            <w:pPr>
              <w:jc w:val="center"/>
              <w:rPr>
                <w:sz w:val="24"/>
                <w:szCs w:val="24"/>
              </w:rPr>
            </w:pPr>
          </w:p>
          <w:p w:rsidR="00416498" w:rsidRPr="0076262A" w:rsidRDefault="00416498" w:rsidP="0076262A">
            <w:pPr>
              <w:jc w:val="center"/>
              <w:rPr>
                <w:color w:val="FF0000"/>
                <w:sz w:val="24"/>
                <w:szCs w:val="24"/>
              </w:rPr>
            </w:pPr>
            <w:r w:rsidRPr="0076262A">
              <w:rPr>
                <w:color w:val="FF0000"/>
                <w:sz w:val="24"/>
                <w:szCs w:val="24"/>
              </w:rPr>
              <w:t xml:space="preserve">Incluir a referência normativa: Método ASTM D7462 - Standard Test </w:t>
            </w:r>
            <w:proofErr w:type="spellStart"/>
            <w:r w:rsidRPr="0076262A">
              <w:rPr>
                <w:color w:val="FF0000"/>
                <w:sz w:val="24"/>
                <w:szCs w:val="24"/>
              </w:rPr>
              <w:t>Method</w:t>
            </w:r>
            <w:proofErr w:type="spellEnd"/>
            <w:r w:rsidRPr="0076262A">
              <w:rPr>
                <w:color w:val="FF0000"/>
                <w:sz w:val="24"/>
                <w:szCs w:val="24"/>
              </w:rPr>
              <w:t xml:space="preserve"> for </w:t>
            </w:r>
            <w:proofErr w:type="spellStart"/>
            <w:r w:rsidRPr="0076262A">
              <w:rPr>
                <w:color w:val="FF0000"/>
                <w:sz w:val="24"/>
                <w:szCs w:val="24"/>
              </w:rPr>
              <w:t>Oxidation</w:t>
            </w:r>
            <w:proofErr w:type="spellEnd"/>
            <w:r w:rsidRPr="0076262A">
              <w:rPr>
                <w:color w:val="FF0000"/>
                <w:sz w:val="24"/>
                <w:szCs w:val="24"/>
              </w:rPr>
              <w:t xml:space="preserve"> </w:t>
            </w:r>
            <w:proofErr w:type="spellStart"/>
            <w:r w:rsidRPr="0076262A">
              <w:rPr>
                <w:color w:val="FF0000"/>
                <w:sz w:val="24"/>
                <w:szCs w:val="24"/>
              </w:rPr>
              <w:t>Stability</w:t>
            </w:r>
            <w:proofErr w:type="spellEnd"/>
            <w:r w:rsidRPr="0076262A">
              <w:rPr>
                <w:color w:val="FF0000"/>
                <w:sz w:val="24"/>
                <w:szCs w:val="24"/>
              </w:rPr>
              <w:t xml:space="preserve"> </w:t>
            </w:r>
            <w:proofErr w:type="spellStart"/>
            <w:r w:rsidRPr="0076262A">
              <w:rPr>
                <w:color w:val="FF0000"/>
                <w:sz w:val="24"/>
                <w:szCs w:val="24"/>
              </w:rPr>
              <w:t>of</w:t>
            </w:r>
            <w:proofErr w:type="spellEnd"/>
            <w:r w:rsidRPr="0076262A">
              <w:rPr>
                <w:color w:val="FF0000"/>
                <w:sz w:val="24"/>
                <w:szCs w:val="24"/>
              </w:rPr>
              <w:t xml:space="preserve"> Biodiesel (B100) </w:t>
            </w:r>
            <w:proofErr w:type="spellStart"/>
            <w:r w:rsidRPr="0076262A">
              <w:rPr>
                <w:color w:val="FF0000"/>
                <w:sz w:val="24"/>
                <w:szCs w:val="24"/>
              </w:rPr>
              <w:t>and</w:t>
            </w:r>
            <w:proofErr w:type="spellEnd"/>
            <w:r w:rsidRPr="0076262A">
              <w:rPr>
                <w:color w:val="FF0000"/>
                <w:sz w:val="24"/>
                <w:szCs w:val="24"/>
              </w:rPr>
              <w:t xml:space="preserve"> </w:t>
            </w:r>
            <w:proofErr w:type="spellStart"/>
            <w:r w:rsidRPr="0076262A">
              <w:rPr>
                <w:color w:val="FF0000"/>
                <w:sz w:val="24"/>
                <w:szCs w:val="24"/>
              </w:rPr>
              <w:t>Blends</w:t>
            </w:r>
            <w:proofErr w:type="spellEnd"/>
            <w:r w:rsidRPr="0076262A">
              <w:rPr>
                <w:color w:val="FF0000"/>
                <w:sz w:val="24"/>
                <w:szCs w:val="24"/>
              </w:rPr>
              <w:t xml:space="preserve"> </w:t>
            </w:r>
            <w:proofErr w:type="spellStart"/>
            <w:r w:rsidRPr="0076262A">
              <w:rPr>
                <w:color w:val="FF0000"/>
                <w:sz w:val="24"/>
                <w:szCs w:val="24"/>
              </w:rPr>
              <w:t>of</w:t>
            </w:r>
            <w:proofErr w:type="spellEnd"/>
            <w:r w:rsidRPr="0076262A">
              <w:rPr>
                <w:color w:val="FF0000"/>
                <w:sz w:val="24"/>
                <w:szCs w:val="24"/>
              </w:rPr>
              <w:t xml:space="preserve"> Biodiesel </w:t>
            </w:r>
            <w:proofErr w:type="spellStart"/>
            <w:r w:rsidRPr="0076262A">
              <w:rPr>
                <w:color w:val="FF0000"/>
                <w:sz w:val="24"/>
                <w:szCs w:val="24"/>
              </w:rPr>
              <w:t>with</w:t>
            </w:r>
            <w:proofErr w:type="spellEnd"/>
            <w:r w:rsidRPr="0076262A">
              <w:rPr>
                <w:color w:val="FF0000"/>
                <w:sz w:val="24"/>
                <w:szCs w:val="24"/>
              </w:rPr>
              <w:t xml:space="preserve"> </w:t>
            </w:r>
            <w:proofErr w:type="spellStart"/>
            <w:r w:rsidRPr="0076262A">
              <w:rPr>
                <w:color w:val="FF0000"/>
                <w:sz w:val="24"/>
                <w:szCs w:val="24"/>
              </w:rPr>
              <w:t>Middle</w:t>
            </w:r>
            <w:proofErr w:type="spellEnd"/>
            <w:r w:rsidRPr="0076262A">
              <w:rPr>
                <w:color w:val="FF0000"/>
                <w:sz w:val="24"/>
                <w:szCs w:val="24"/>
              </w:rPr>
              <w:t xml:space="preserve"> </w:t>
            </w:r>
            <w:proofErr w:type="spellStart"/>
            <w:r w:rsidRPr="0076262A">
              <w:rPr>
                <w:color w:val="FF0000"/>
                <w:sz w:val="24"/>
                <w:szCs w:val="24"/>
              </w:rPr>
              <w:t>Distillate</w:t>
            </w:r>
            <w:proofErr w:type="spellEnd"/>
            <w:r w:rsidRPr="0076262A">
              <w:rPr>
                <w:color w:val="FF0000"/>
                <w:sz w:val="24"/>
                <w:szCs w:val="24"/>
              </w:rPr>
              <w:t xml:space="preserve"> </w:t>
            </w:r>
            <w:proofErr w:type="spellStart"/>
            <w:r w:rsidRPr="0076262A">
              <w:rPr>
                <w:color w:val="FF0000"/>
                <w:sz w:val="24"/>
                <w:szCs w:val="24"/>
              </w:rPr>
              <w:t>Petroleum</w:t>
            </w:r>
            <w:proofErr w:type="spellEnd"/>
            <w:r w:rsidRPr="0076262A">
              <w:rPr>
                <w:color w:val="FF0000"/>
                <w:sz w:val="24"/>
                <w:szCs w:val="24"/>
              </w:rPr>
              <w:t xml:space="preserve"> </w:t>
            </w:r>
            <w:proofErr w:type="spellStart"/>
            <w:r w:rsidRPr="0076262A">
              <w:rPr>
                <w:color w:val="FF0000"/>
                <w:sz w:val="24"/>
                <w:szCs w:val="24"/>
              </w:rPr>
              <w:t>Fuel</w:t>
            </w:r>
            <w:proofErr w:type="spellEnd"/>
            <w:r w:rsidRPr="0076262A">
              <w:rPr>
                <w:color w:val="FF0000"/>
                <w:sz w:val="24"/>
                <w:szCs w:val="24"/>
              </w:rPr>
              <w:t xml:space="preserve"> (</w:t>
            </w:r>
            <w:proofErr w:type="spellStart"/>
            <w:r w:rsidRPr="0076262A">
              <w:rPr>
                <w:color w:val="FF0000"/>
                <w:sz w:val="24"/>
                <w:szCs w:val="24"/>
              </w:rPr>
              <w:t>Accelerated</w:t>
            </w:r>
            <w:proofErr w:type="spellEnd"/>
            <w:r w:rsidRPr="0076262A">
              <w:rPr>
                <w:color w:val="FF0000"/>
                <w:sz w:val="24"/>
                <w:szCs w:val="24"/>
              </w:rPr>
              <w:t xml:space="preserve"> </w:t>
            </w:r>
            <w:proofErr w:type="spellStart"/>
            <w:r w:rsidRPr="0076262A">
              <w:rPr>
                <w:color w:val="FF0000"/>
                <w:sz w:val="24"/>
                <w:szCs w:val="24"/>
              </w:rPr>
              <w:t>Method</w:t>
            </w:r>
            <w:proofErr w:type="spellEnd"/>
            <w:r w:rsidRPr="0076262A">
              <w:rPr>
                <w:color w:val="FF0000"/>
                <w:sz w:val="24"/>
                <w:szCs w:val="24"/>
              </w:rPr>
              <w:t>).</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r w:rsidRPr="0076262A">
              <w:rPr>
                <w:sz w:val="24"/>
                <w:szCs w:val="24"/>
              </w:rPr>
              <w:t>A nota técnica da referente consulta menciona que os métodos ASTM D2274 e D5304 são aplicáveis somente para a análise de óleo diesel A, razão pela qual foi retirado da minuta de revisão. No entanto, o escopo da Norma ASTM D2274 cita que, quando há biodiesel , a metodologia empregada na norma ASTM D7462 deve ser utilizada.</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BD7779" w:rsidP="0076262A">
            <w:pPr>
              <w:spacing w:before="120" w:after="120"/>
              <w:jc w:val="center"/>
              <w:rPr>
                <w:rFonts w:eastAsia="Arial Unicode MS"/>
                <w:bCs/>
                <w:sz w:val="24"/>
                <w:szCs w:val="24"/>
              </w:rPr>
            </w:pPr>
            <w:r w:rsidRPr="0076262A">
              <w:rPr>
                <w:rFonts w:eastAsia="Arial Unicode MS"/>
                <w:bCs/>
                <w:sz w:val="24"/>
                <w:szCs w:val="24"/>
              </w:rPr>
              <w:t>SINDICOM</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b/>
                <w:bCs/>
                <w:color w:val="000000"/>
                <w:sz w:val="24"/>
                <w:szCs w:val="24"/>
              </w:rPr>
            </w:pPr>
            <w:proofErr w:type="spellStart"/>
            <w:r w:rsidRPr="0076262A">
              <w:rPr>
                <w:b/>
                <w:bCs/>
                <w:color w:val="000000"/>
                <w:sz w:val="24"/>
                <w:szCs w:val="24"/>
              </w:rPr>
              <w:t>Art</w:t>
            </w:r>
            <w:proofErr w:type="spellEnd"/>
            <w:r w:rsidRPr="0076262A">
              <w:rPr>
                <w:b/>
                <w:bCs/>
                <w:color w:val="000000"/>
                <w:sz w:val="24"/>
                <w:szCs w:val="24"/>
              </w:rPr>
              <w:t xml:space="preserve"> 1º</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ind w:firstLine="564"/>
              <w:jc w:val="center"/>
              <w:rPr>
                <w:b/>
                <w:sz w:val="24"/>
                <w:szCs w:val="24"/>
              </w:rPr>
            </w:pPr>
          </w:p>
          <w:p w:rsidR="00416498" w:rsidRPr="0076262A" w:rsidRDefault="00416498" w:rsidP="0076262A">
            <w:pPr>
              <w:ind w:firstLine="564"/>
              <w:jc w:val="center"/>
              <w:rPr>
                <w:b/>
                <w:color w:val="FF0000"/>
                <w:sz w:val="24"/>
                <w:szCs w:val="24"/>
              </w:rPr>
            </w:pPr>
            <w:r w:rsidRPr="0076262A">
              <w:rPr>
                <w:b/>
                <w:sz w:val="24"/>
                <w:szCs w:val="24"/>
              </w:rPr>
              <w:t>Art. 1º</w:t>
            </w:r>
            <w:r w:rsidRPr="0076262A">
              <w:rPr>
                <w:sz w:val="24"/>
                <w:szCs w:val="24"/>
              </w:rPr>
              <w:t xml:space="preserve"> Fica estabelecida, por meio da presente Resolução, a especificação de óleo diesel B8 a B30, em caráter autorizativo</w:t>
            </w:r>
            <w:r w:rsidRPr="0076262A">
              <w:rPr>
                <w:b/>
                <w:color w:val="FF0000"/>
                <w:sz w:val="24"/>
                <w:szCs w:val="24"/>
              </w:rPr>
              <w:t>, nos termos dos incisos</w:t>
            </w:r>
            <w:r w:rsidRPr="0076262A">
              <w:rPr>
                <w:b/>
                <w:sz w:val="24"/>
                <w:szCs w:val="24"/>
              </w:rPr>
              <w:t xml:space="preserve"> </w:t>
            </w:r>
            <w:r w:rsidRPr="0076262A">
              <w:rPr>
                <w:sz w:val="24"/>
                <w:szCs w:val="24"/>
              </w:rPr>
              <w:t>I, II</w:t>
            </w:r>
            <w:r w:rsidRPr="0076262A">
              <w:rPr>
                <w:b/>
                <w:sz w:val="24"/>
                <w:szCs w:val="24"/>
              </w:rPr>
              <w:t xml:space="preserve"> </w:t>
            </w:r>
            <w:r w:rsidRPr="0076262A">
              <w:rPr>
                <w:sz w:val="24"/>
                <w:szCs w:val="24"/>
              </w:rPr>
              <w:t>e</w:t>
            </w:r>
            <w:r w:rsidRPr="0076262A">
              <w:rPr>
                <w:b/>
                <w:color w:val="FF0000"/>
                <w:sz w:val="24"/>
                <w:szCs w:val="24"/>
              </w:rPr>
              <w:t xml:space="preserve"> III do Art. 1º da Resolução CNPE nº 03, de 21 de setembro de 2015.</w:t>
            </w:r>
          </w:p>
          <w:p w:rsidR="00416498" w:rsidRPr="0076262A" w:rsidRDefault="00416498" w:rsidP="0076262A">
            <w:pPr>
              <w:ind w:firstLine="564"/>
              <w:jc w:val="center"/>
              <w:rPr>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r w:rsidRPr="0076262A">
              <w:rPr>
                <w:sz w:val="24"/>
                <w:szCs w:val="24"/>
              </w:rPr>
              <w:t xml:space="preserve">Entendemos ser bastante importante definir o setor de </w:t>
            </w:r>
            <w:proofErr w:type="spellStart"/>
            <w:r w:rsidRPr="0076262A">
              <w:rPr>
                <w:sz w:val="24"/>
                <w:szCs w:val="24"/>
              </w:rPr>
              <w:t>agro-indústria</w:t>
            </w:r>
            <w:proofErr w:type="spellEnd"/>
            <w:r w:rsidRPr="0076262A">
              <w:rPr>
                <w:sz w:val="24"/>
                <w:szCs w:val="24"/>
              </w:rPr>
              <w:t>, para não haver dúvidas quanto ao correto uso do B30 e para a própria fiscalização da ANP.</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BD7779" w:rsidP="0076262A">
            <w:pPr>
              <w:spacing w:before="120" w:after="120"/>
              <w:jc w:val="center"/>
              <w:rPr>
                <w:rFonts w:eastAsia="Arial Unicode MS"/>
                <w:bCs/>
                <w:sz w:val="24"/>
                <w:szCs w:val="24"/>
              </w:rPr>
            </w:pPr>
            <w:r w:rsidRPr="0076262A">
              <w:rPr>
                <w:rFonts w:eastAsia="Arial Unicode MS"/>
                <w:bCs/>
                <w:sz w:val="24"/>
                <w:szCs w:val="24"/>
              </w:rPr>
              <w:t>SINDICOM</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b/>
                <w:bCs/>
                <w:color w:val="000000"/>
                <w:sz w:val="24"/>
                <w:szCs w:val="24"/>
                <w:lang w:val="en-US"/>
              </w:rPr>
            </w:pPr>
          </w:p>
          <w:p w:rsidR="00416498" w:rsidRPr="0076262A" w:rsidRDefault="00416498" w:rsidP="0076262A">
            <w:pPr>
              <w:jc w:val="center"/>
              <w:rPr>
                <w:rFonts w:eastAsia="Arial Unicode MS"/>
                <w:b/>
                <w:bCs/>
                <w:sz w:val="24"/>
                <w:szCs w:val="24"/>
                <w:lang w:val="en-US"/>
              </w:rPr>
            </w:pPr>
            <w:r w:rsidRPr="0076262A">
              <w:rPr>
                <w:b/>
                <w:sz w:val="24"/>
                <w:szCs w:val="24"/>
                <w:lang w:val="en-US"/>
              </w:rPr>
              <w:t>Art. 5º</w:t>
            </w:r>
            <w:r w:rsidRPr="0076262A">
              <w:rPr>
                <w:sz w:val="24"/>
                <w:szCs w:val="24"/>
                <w:lang w:val="en-US"/>
              </w:rPr>
              <w:t xml:space="preserve"> §1º, </w:t>
            </w:r>
            <w:proofErr w:type="spellStart"/>
            <w:r w:rsidRPr="0076262A">
              <w:rPr>
                <w:sz w:val="24"/>
                <w:szCs w:val="24"/>
                <w:lang w:val="en-US"/>
              </w:rPr>
              <w:t>inciso</w:t>
            </w:r>
            <w:proofErr w:type="spellEnd"/>
            <w:r w:rsidRPr="0076262A">
              <w:rPr>
                <w:sz w:val="24"/>
                <w:szCs w:val="24"/>
                <w:lang w:val="en-US"/>
              </w:rPr>
              <w:t xml:space="preserve"> I</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ind w:firstLine="564"/>
              <w:jc w:val="center"/>
              <w:rPr>
                <w:color w:val="FF0000"/>
                <w:sz w:val="24"/>
                <w:szCs w:val="24"/>
              </w:rPr>
            </w:pPr>
            <w:r w:rsidRPr="0076262A">
              <w:rPr>
                <w:sz w:val="24"/>
                <w:szCs w:val="24"/>
              </w:rPr>
              <w:t xml:space="preserve">I - </w:t>
            </w:r>
            <w:proofErr w:type="gramStart"/>
            <w:r w:rsidRPr="0076262A">
              <w:rPr>
                <w:sz w:val="24"/>
                <w:szCs w:val="24"/>
              </w:rPr>
              <w:t>resultados</w:t>
            </w:r>
            <w:proofErr w:type="gramEnd"/>
            <w:r w:rsidRPr="0076262A">
              <w:rPr>
                <w:sz w:val="24"/>
                <w:szCs w:val="24"/>
              </w:rPr>
              <w:t xml:space="preserve"> de análises para as seguintes características: aspecto, cor visual, ponto de fulgor, massa específica, condutividade elétrica</w:t>
            </w:r>
            <w:r w:rsidRPr="0076262A">
              <w:rPr>
                <w:color w:val="FF0000"/>
                <w:sz w:val="24"/>
                <w:szCs w:val="24"/>
              </w:rPr>
              <w:t xml:space="preserve">, </w:t>
            </w:r>
            <w:r w:rsidRPr="0076262A">
              <w:rPr>
                <w:b/>
                <w:strike/>
                <w:color w:val="FF0000"/>
                <w:sz w:val="24"/>
                <w:szCs w:val="24"/>
              </w:rPr>
              <w:t>destilação, número de acidez</w:t>
            </w:r>
            <w:r w:rsidRPr="0076262A">
              <w:rPr>
                <w:color w:val="FF0000"/>
                <w:sz w:val="24"/>
                <w:szCs w:val="24"/>
              </w:rPr>
              <w:t xml:space="preserve"> </w:t>
            </w:r>
            <w:r w:rsidRPr="0076262A">
              <w:rPr>
                <w:sz w:val="24"/>
                <w:szCs w:val="24"/>
              </w:rPr>
              <w:t>e teor de água</w:t>
            </w:r>
          </w:p>
          <w:p w:rsidR="00416498" w:rsidRPr="0076262A" w:rsidRDefault="00416498" w:rsidP="0076262A">
            <w:pPr>
              <w:jc w:val="center"/>
              <w:rPr>
                <w:rFonts w:eastAsia="Arial Unicode MS"/>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p>
          <w:p w:rsidR="00416498" w:rsidRPr="0076262A" w:rsidRDefault="00416498" w:rsidP="0076262A">
            <w:pPr>
              <w:jc w:val="center"/>
              <w:rPr>
                <w:sz w:val="24"/>
                <w:szCs w:val="24"/>
              </w:rPr>
            </w:pPr>
            <w:r w:rsidRPr="0076262A">
              <w:rPr>
                <w:sz w:val="24"/>
                <w:szCs w:val="24"/>
              </w:rPr>
              <w:t xml:space="preserve">Esse é o elenco de análises atuais para o diesel B7 relativas ao Boletim de Conformidade. A proposta de inclusão de destilação e número de acidez estará coberta </w:t>
            </w:r>
            <w:r w:rsidRPr="0076262A">
              <w:rPr>
                <w:sz w:val="24"/>
                <w:szCs w:val="24"/>
              </w:rPr>
              <w:lastRenderedPageBreak/>
              <w:t>na análise mensal a ser encaminhada para a ANP, conforme nossa proposta para o parágrafo 4º, inciso V deste mesmo artigo, a exemplo da estabilidade à oxidação sugerida pela ANP, para os devidos registros e acompanhamento da Agência.</w:t>
            </w:r>
          </w:p>
          <w:p w:rsidR="00416498" w:rsidRPr="0076262A" w:rsidRDefault="00416498" w:rsidP="0076262A">
            <w:pPr>
              <w:jc w:val="center"/>
              <w:rPr>
                <w:rFonts w:eastAsia="Arial Unicode MS"/>
                <w:sz w:val="24"/>
                <w:szCs w:val="24"/>
              </w:rPr>
            </w:pP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BD7779" w:rsidP="0076262A">
            <w:pPr>
              <w:spacing w:before="120" w:after="120"/>
              <w:jc w:val="center"/>
              <w:rPr>
                <w:rFonts w:eastAsia="Arial Unicode MS"/>
                <w:bCs/>
                <w:sz w:val="24"/>
                <w:szCs w:val="24"/>
              </w:rPr>
            </w:pPr>
            <w:r w:rsidRPr="0076262A">
              <w:rPr>
                <w:rFonts w:eastAsia="Arial Unicode MS"/>
                <w:bCs/>
                <w:sz w:val="24"/>
                <w:szCs w:val="24"/>
              </w:rPr>
              <w:lastRenderedPageBreak/>
              <w:t>SINDICOM</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lang w:val="en-US"/>
              </w:rPr>
            </w:pPr>
            <w:r w:rsidRPr="0076262A">
              <w:rPr>
                <w:b/>
                <w:sz w:val="24"/>
                <w:szCs w:val="24"/>
                <w:lang w:val="en-US"/>
              </w:rPr>
              <w:t>Art. 5º</w:t>
            </w:r>
            <w:r w:rsidRPr="0076262A">
              <w:rPr>
                <w:sz w:val="24"/>
                <w:szCs w:val="24"/>
                <w:lang w:val="en-US"/>
              </w:rPr>
              <w:t xml:space="preserve"> §1º, </w:t>
            </w:r>
            <w:proofErr w:type="spellStart"/>
            <w:r w:rsidRPr="0076262A">
              <w:rPr>
                <w:sz w:val="24"/>
                <w:szCs w:val="24"/>
                <w:lang w:val="en-US"/>
              </w:rPr>
              <w:t>inciso</w:t>
            </w:r>
            <w:proofErr w:type="spellEnd"/>
            <w:r w:rsidRPr="0076262A">
              <w:rPr>
                <w:sz w:val="24"/>
                <w:szCs w:val="24"/>
                <w:lang w:val="en-US"/>
              </w:rPr>
              <w:t xml:space="preserve"> V</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pStyle w:val="Texto"/>
              <w:jc w:val="center"/>
              <w:rPr>
                <w:rFonts w:ascii="Times New Roman" w:hAnsi="Times New Roman" w:cs="Times New Roman"/>
                <w:sz w:val="24"/>
                <w:szCs w:val="24"/>
                <w:lang w:val="en-US"/>
              </w:rPr>
            </w:pPr>
          </w:p>
          <w:p w:rsidR="00416498" w:rsidRPr="0076262A" w:rsidRDefault="00416498" w:rsidP="0076262A">
            <w:pPr>
              <w:pStyle w:val="Texto"/>
              <w:jc w:val="center"/>
              <w:rPr>
                <w:rFonts w:ascii="Times New Roman" w:hAnsi="Times New Roman" w:cs="Times New Roman"/>
                <w:sz w:val="24"/>
                <w:szCs w:val="24"/>
              </w:rPr>
            </w:pPr>
            <w:r w:rsidRPr="0076262A">
              <w:rPr>
                <w:rFonts w:ascii="Times New Roman" w:hAnsi="Times New Roman" w:cs="Times New Roman"/>
                <w:sz w:val="24"/>
                <w:szCs w:val="24"/>
              </w:rPr>
              <w:t xml:space="preserve">V - assinatura do profissional de química responsável </w:t>
            </w:r>
            <w:r w:rsidRPr="0076262A">
              <w:rPr>
                <w:rFonts w:ascii="Times New Roman" w:hAnsi="Times New Roman" w:cs="Times New Roman"/>
                <w:strike/>
                <w:color w:val="FF0000"/>
                <w:sz w:val="24"/>
                <w:szCs w:val="24"/>
              </w:rPr>
              <w:t>pela qualidade do produto na empresa</w:t>
            </w:r>
            <w:r w:rsidRPr="0076262A">
              <w:rPr>
                <w:rFonts w:ascii="Times New Roman" w:hAnsi="Times New Roman" w:cs="Times New Roman"/>
                <w:color w:val="FF0000"/>
                <w:sz w:val="24"/>
                <w:szCs w:val="24"/>
              </w:rPr>
              <w:t xml:space="preserve"> </w:t>
            </w:r>
            <w:r w:rsidRPr="0076262A">
              <w:rPr>
                <w:rFonts w:ascii="Times New Roman" w:hAnsi="Times New Roman" w:cs="Times New Roman"/>
                <w:b/>
                <w:color w:val="FF0000"/>
                <w:sz w:val="24"/>
                <w:szCs w:val="24"/>
              </w:rPr>
              <w:t>pelas análises laboratoriais realizadas</w:t>
            </w:r>
            <w:r w:rsidRPr="0076262A">
              <w:rPr>
                <w:rFonts w:ascii="Times New Roman" w:hAnsi="Times New Roman" w:cs="Times New Roman"/>
                <w:sz w:val="24"/>
                <w:szCs w:val="24"/>
              </w:rPr>
              <w:t>, com indicação legível de seu nome e número de inscrição no Conselho Regional de Química.</w:t>
            </w:r>
          </w:p>
          <w:p w:rsidR="00416498" w:rsidRPr="0076262A" w:rsidRDefault="00416498" w:rsidP="0076262A">
            <w:pPr>
              <w:jc w:val="center"/>
              <w:rPr>
                <w:sz w:val="24"/>
                <w:szCs w:val="24"/>
              </w:rPr>
            </w:pPr>
          </w:p>
          <w:p w:rsidR="00416498" w:rsidRPr="0076262A" w:rsidRDefault="00416498" w:rsidP="0076262A">
            <w:pPr>
              <w:pStyle w:val="Texto"/>
              <w:jc w:val="center"/>
              <w:rPr>
                <w:rFonts w:ascii="Times New Roman" w:hAnsi="Times New Roman" w:cs="Times New Roman"/>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r w:rsidRPr="0076262A">
              <w:rPr>
                <w:sz w:val="24"/>
                <w:szCs w:val="24"/>
              </w:rPr>
              <w:t xml:space="preserve">Nas Distribuidoras, o profissional de </w:t>
            </w:r>
            <w:proofErr w:type="gramStart"/>
            <w:r w:rsidRPr="0076262A">
              <w:rPr>
                <w:sz w:val="24"/>
                <w:szCs w:val="24"/>
              </w:rPr>
              <w:t>química  responsável</w:t>
            </w:r>
            <w:proofErr w:type="gramEnd"/>
            <w:r w:rsidRPr="0076262A">
              <w:rPr>
                <w:sz w:val="24"/>
                <w:szCs w:val="24"/>
              </w:rPr>
              <w:t xml:space="preserve"> pela qualidade do produto, normalmente, não analisa combustíveis. A análise é feita por empresas especializadas, e o documento de qualidade já vem assinado pelo químico responsável pelos ensaios.</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BD7779" w:rsidP="0076262A">
            <w:pPr>
              <w:spacing w:before="120" w:after="120"/>
              <w:jc w:val="center"/>
              <w:rPr>
                <w:rFonts w:eastAsia="Arial Unicode MS"/>
                <w:bCs/>
                <w:sz w:val="24"/>
                <w:szCs w:val="24"/>
              </w:rPr>
            </w:pPr>
            <w:r w:rsidRPr="0076262A">
              <w:rPr>
                <w:rFonts w:eastAsia="Arial Unicode MS"/>
                <w:bCs/>
                <w:sz w:val="24"/>
                <w:szCs w:val="24"/>
              </w:rPr>
              <w:t>SINDICOM</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r w:rsidRPr="0076262A">
              <w:rPr>
                <w:b/>
                <w:sz w:val="24"/>
                <w:szCs w:val="24"/>
              </w:rPr>
              <w:t>Art. 5º</w:t>
            </w:r>
            <w:r w:rsidRPr="0076262A">
              <w:rPr>
                <w:sz w:val="24"/>
                <w:szCs w:val="24"/>
              </w:rPr>
              <w:t>, § 4º</w:t>
            </w:r>
          </w:p>
          <w:p w:rsidR="00416498" w:rsidRPr="0076262A" w:rsidRDefault="00416498" w:rsidP="0076262A">
            <w:pPr>
              <w:jc w:val="center"/>
              <w:rPr>
                <w:b/>
                <w:bCs/>
                <w:color w:val="000000"/>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pStyle w:val="Texto"/>
              <w:jc w:val="center"/>
              <w:rPr>
                <w:rFonts w:ascii="Times New Roman" w:hAnsi="Times New Roman" w:cs="Times New Roman"/>
                <w:b/>
                <w:sz w:val="24"/>
                <w:szCs w:val="24"/>
              </w:rPr>
            </w:pPr>
            <w:r w:rsidRPr="0076262A">
              <w:rPr>
                <w:rFonts w:ascii="Times New Roman" w:hAnsi="Times New Roman" w:cs="Times New Roman"/>
                <w:b/>
                <w:sz w:val="24"/>
                <w:szCs w:val="24"/>
              </w:rPr>
              <w:t>Incluir parâmetros:</w:t>
            </w:r>
          </w:p>
          <w:p w:rsidR="00416498" w:rsidRPr="0076262A" w:rsidRDefault="00416498" w:rsidP="0076262A">
            <w:pPr>
              <w:pStyle w:val="Texto"/>
              <w:jc w:val="center"/>
              <w:rPr>
                <w:rFonts w:ascii="Times New Roman" w:hAnsi="Times New Roman" w:cs="Times New Roman"/>
                <w:sz w:val="24"/>
                <w:szCs w:val="24"/>
              </w:rPr>
            </w:pPr>
            <w:r w:rsidRPr="0076262A">
              <w:rPr>
                <w:rFonts w:ascii="Times New Roman" w:hAnsi="Times New Roman" w:cs="Times New Roman"/>
                <w:sz w:val="24"/>
                <w:szCs w:val="24"/>
              </w:rPr>
              <w:t xml:space="preserve">§ 4º Adicionalmente ao Boletim de Conformidade, o Distribuidor de Combustíveis Líquidos deverá analisar, pelo menos uma vez por mês, a estabilidade à oxidação, </w:t>
            </w:r>
            <w:r w:rsidRPr="0076262A">
              <w:rPr>
                <w:rFonts w:ascii="Times New Roman" w:hAnsi="Times New Roman" w:cs="Times New Roman"/>
                <w:b/>
                <w:color w:val="FF0000"/>
                <w:sz w:val="24"/>
                <w:szCs w:val="24"/>
              </w:rPr>
              <w:t xml:space="preserve">destilação e número de acidez </w:t>
            </w:r>
            <w:r w:rsidRPr="0076262A">
              <w:rPr>
                <w:rFonts w:ascii="Times New Roman" w:hAnsi="Times New Roman" w:cs="Times New Roman"/>
                <w:sz w:val="24"/>
                <w:szCs w:val="24"/>
              </w:rPr>
              <w:t>de uma amostra representativa de óleo diesel B8 a B30 a ser comercializada e enviar à ANP os resultados até o 15º (décimo quinto) dia do mês subsequente àquele a que se referirem os dados, de acordo com as instruções constantes no site da ANP.</w:t>
            </w:r>
          </w:p>
          <w:p w:rsidR="00416498" w:rsidRPr="0076262A" w:rsidRDefault="00416498" w:rsidP="0076262A">
            <w:pPr>
              <w:jc w:val="center"/>
              <w:rPr>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r w:rsidRPr="0076262A">
              <w:rPr>
                <w:sz w:val="24"/>
                <w:szCs w:val="24"/>
              </w:rPr>
              <w:t>De acordo com a Nota Técnica, o objetivo da obrigatoriedade do ensaio de destilação é conhecer a curva de destilação do produto. Assim sugerimos que seja feita mensalmente e não carregamento a carregamento, assim como o número de acidez, com o objetivo de alimentar o banco de dados da ANP com relação a esses parâmetros.</w:t>
            </w:r>
          </w:p>
          <w:p w:rsidR="00416498" w:rsidRPr="0076262A" w:rsidRDefault="00416498" w:rsidP="0076262A">
            <w:pPr>
              <w:jc w:val="center"/>
              <w:rPr>
                <w:sz w:val="24"/>
                <w:szCs w:val="24"/>
              </w:rPr>
            </w:pP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BD7779" w:rsidP="0076262A">
            <w:pPr>
              <w:spacing w:before="120" w:after="120"/>
              <w:jc w:val="center"/>
              <w:rPr>
                <w:rFonts w:eastAsia="Arial Unicode MS"/>
                <w:bCs/>
                <w:sz w:val="24"/>
                <w:szCs w:val="24"/>
              </w:rPr>
            </w:pPr>
            <w:r w:rsidRPr="0076262A">
              <w:rPr>
                <w:rFonts w:eastAsia="Arial Unicode MS"/>
                <w:bCs/>
                <w:sz w:val="24"/>
                <w:szCs w:val="24"/>
              </w:rPr>
              <w:t>SINDICOM</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b/>
                <w:bCs/>
                <w:color w:val="000000"/>
                <w:sz w:val="24"/>
                <w:szCs w:val="24"/>
              </w:rPr>
            </w:pPr>
            <w:r w:rsidRPr="0076262A">
              <w:rPr>
                <w:b/>
                <w:bCs/>
                <w:color w:val="000000"/>
                <w:sz w:val="24"/>
                <w:szCs w:val="24"/>
              </w:rPr>
              <w:t>Art. 7º Parágrafo único e ANEXO II</w:t>
            </w:r>
          </w:p>
          <w:p w:rsidR="00416498" w:rsidRPr="0076262A" w:rsidRDefault="00416498" w:rsidP="0076262A">
            <w:pPr>
              <w:jc w:val="center"/>
              <w:rPr>
                <w:rFonts w:eastAsia="Arial Unicode MS"/>
                <w:b/>
                <w:bCs/>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tabs>
                <w:tab w:val="left" w:pos="720"/>
                <w:tab w:val="left" w:pos="1698"/>
                <w:tab w:val="left" w:pos="2304"/>
                <w:tab w:val="left" w:pos="2820"/>
                <w:tab w:val="left" w:pos="2880"/>
                <w:tab w:val="left" w:pos="3601"/>
                <w:tab w:val="left" w:pos="4322"/>
                <w:tab w:val="left" w:pos="5043"/>
                <w:tab w:val="left" w:pos="5761"/>
                <w:tab w:val="left" w:pos="6482"/>
                <w:tab w:val="left" w:pos="7203"/>
                <w:tab w:val="left" w:pos="7923"/>
                <w:tab w:val="left" w:pos="8641"/>
                <w:tab w:val="left" w:pos="9362"/>
                <w:tab w:val="left" w:pos="10083"/>
                <w:tab w:val="left" w:pos="10801"/>
                <w:tab w:val="left" w:pos="11522"/>
                <w:tab w:val="left" w:pos="12243"/>
                <w:tab w:val="left" w:pos="12964"/>
                <w:tab w:val="left" w:pos="13682"/>
                <w:tab w:val="left" w:pos="14403"/>
                <w:tab w:val="left" w:pos="15123"/>
                <w:tab w:val="left" w:pos="15844"/>
                <w:tab w:val="left" w:pos="16562"/>
                <w:tab w:val="left" w:pos="17283"/>
                <w:tab w:val="left" w:pos="18004"/>
                <w:tab w:val="left" w:pos="18722"/>
                <w:tab w:val="left" w:pos="19443"/>
                <w:tab w:val="left" w:pos="20164"/>
                <w:tab w:val="left" w:pos="20885"/>
              </w:tabs>
              <w:suppressAutoHyphens/>
              <w:spacing w:before="81" w:after="40"/>
              <w:jc w:val="center"/>
              <w:rPr>
                <w:b/>
                <w:sz w:val="24"/>
                <w:szCs w:val="24"/>
              </w:rPr>
            </w:pPr>
            <w:r w:rsidRPr="0076262A">
              <w:rPr>
                <w:b/>
                <w:sz w:val="24"/>
                <w:szCs w:val="24"/>
              </w:rPr>
              <w:t>Excluir o Parágrafo único: e no Anexo II - DECLARAÇÃO DE RESPONSABILIDADE PELO USO DO ÓLEO DIESEL B8 A B30 a identificação do fornecedor do combustível diesel B8 a B30.</w:t>
            </w:r>
          </w:p>
          <w:p w:rsidR="00416498" w:rsidRPr="0076262A" w:rsidRDefault="00416498" w:rsidP="0076262A">
            <w:pPr>
              <w:tabs>
                <w:tab w:val="left" w:pos="720"/>
                <w:tab w:val="left" w:pos="1698"/>
                <w:tab w:val="left" w:pos="2304"/>
                <w:tab w:val="left" w:pos="2820"/>
                <w:tab w:val="left" w:pos="2880"/>
                <w:tab w:val="left" w:pos="3601"/>
                <w:tab w:val="left" w:pos="4322"/>
                <w:tab w:val="left" w:pos="5043"/>
                <w:tab w:val="left" w:pos="5761"/>
                <w:tab w:val="left" w:pos="6482"/>
                <w:tab w:val="left" w:pos="7203"/>
                <w:tab w:val="left" w:pos="7923"/>
                <w:tab w:val="left" w:pos="8641"/>
                <w:tab w:val="left" w:pos="9362"/>
                <w:tab w:val="left" w:pos="10083"/>
                <w:tab w:val="left" w:pos="10801"/>
                <w:tab w:val="left" w:pos="11522"/>
                <w:tab w:val="left" w:pos="12243"/>
                <w:tab w:val="left" w:pos="12964"/>
                <w:tab w:val="left" w:pos="13682"/>
                <w:tab w:val="left" w:pos="14403"/>
                <w:tab w:val="left" w:pos="15123"/>
                <w:tab w:val="left" w:pos="15844"/>
                <w:tab w:val="left" w:pos="16562"/>
                <w:tab w:val="left" w:pos="17283"/>
                <w:tab w:val="left" w:pos="18004"/>
                <w:tab w:val="left" w:pos="18722"/>
                <w:tab w:val="left" w:pos="19443"/>
                <w:tab w:val="left" w:pos="20164"/>
                <w:tab w:val="left" w:pos="20885"/>
              </w:tabs>
              <w:suppressAutoHyphens/>
              <w:spacing w:before="81" w:after="40"/>
              <w:ind w:firstLine="567"/>
              <w:jc w:val="center"/>
              <w:rPr>
                <w:strike/>
                <w:color w:val="FF0000"/>
                <w:sz w:val="24"/>
                <w:szCs w:val="24"/>
              </w:rPr>
            </w:pPr>
            <w:r w:rsidRPr="0076262A">
              <w:rPr>
                <w:strike/>
                <w:color w:val="FF0000"/>
                <w:sz w:val="24"/>
                <w:szCs w:val="24"/>
              </w:rPr>
              <w:t xml:space="preserve">Parágrafo único. A declaração de garantia do fabricante do motor, de que se trata o inciso II deste artigo, poderá ser substituída pela declaração de responsabilidade pelo uso do produto, conforme consta no </w:t>
            </w:r>
            <w:r w:rsidRPr="0076262A">
              <w:rPr>
                <w:strike/>
                <w:color w:val="FF0000"/>
                <w:sz w:val="24"/>
                <w:szCs w:val="24"/>
              </w:rPr>
              <w:lastRenderedPageBreak/>
              <w:t>ANEXO II, firmada pelo Distribuidor de Combustíveis Líquidos e usuário que operará com o óleo diesel B8 a B30.</w:t>
            </w:r>
          </w:p>
          <w:p w:rsidR="00416498" w:rsidRPr="0076262A" w:rsidRDefault="00416498" w:rsidP="0076262A">
            <w:pPr>
              <w:jc w:val="center"/>
              <w:rPr>
                <w:rFonts w:eastAsia="Arial Unicode MS"/>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tabs>
                <w:tab w:val="left" w:pos="720"/>
                <w:tab w:val="left" w:pos="1698"/>
                <w:tab w:val="left" w:pos="2304"/>
                <w:tab w:val="left" w:pos="2820"/>
                <w:tab w:val="left" w:pos="2880"/>
                <w:tab w:val="left" w:pos="3601"/>
                <w:tab w:val="left" w:pos="4322"/>
                <w:tab w:val="left" w:pos="5043"/>
                <w:tab w:val="left" w:pos="5761"/>
                <w:tab w:val="left" w:pos="6482"/>
                <w:tab w:val="left" w:pos="7203"/>
                <w:tab w:val="left" w:pos="7923"/>
                <w:tab w:val="left" w:pos="8641"/>
                <w:tab w:val="left" w:pos="9362"/>
                <w:tab w:val="left" w:pos="10083"/>
                <w:tab w:val="left" w:pos="10801"/>
                <w:tab w:val="left" w:pos="11522"/>
                <w:tab w:val="left" w:pos="12243"/>
                <w:tab w:val="left" w:pos="12964"/>
                <w:tab w:val="left" w:pos="13682"/>
                <w:tab w:val="left" w:pos="14403"/>
                <w:tab w:val="left" w:pos="15123"/>
                <w:tab w:val="left" w:pos="15844"/>
                <w:tab w:val="left" w:pos="16562"/>
                <w:tab w:val="left" w:pos="17283"/>
                <w:tab w:val="left" w:pos="18004"/>
                <w:tab w:val="left" w:pos="18722"/>
                <w:tab w:val="left" w:pos="19443"/>
                <w:tab w:val="left" w:pos="20164"/>
                <w:tab w:val="left" w:pos="20885"/>
              </w:tabs>
              <w:suppressAutoHyphens/>
              <w:spacing w:before="81" w:after="40"/>
              <w:jc w:val="center"/>
              <w:rPr>
                <w:rFonts w:eastAsia="Arial Unicode MS"/>
                <w:sz w:val="24"/>
                <w:szCs w:val="24"/>
              </w:rPr>
            </w:pPr>
            <w:r w:rsidRPr="0076262A">
              <w:rPr>
                <w:sz w:val="24"/>
                <w:szCs w:val="24"/>
              </w:rPr>
              <w:lastRenderedPageBreak/>
              <w:t>Somente o proprietário dos veículos e equipamentos vai utilizar o produto, ou seja, será o único responsável pelo uso do óleo diesel B8 a B30. A responsabilidade do Distribuidor (fornecedor) é entregar o produto dentro das especificações vigentes. Caso seja necessário identificar o fornecedor do produto, basta o usuário apresentar as notas fiscais à ANP.</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BD7779" w:rsidP="0076262A">
            <w:pPr>
              <w:spacing w:before="120" w:after="120"/>
              <w:jc w:val="center"/>
              <w:rPr>
                <w:rFonts w:eastAsia="Arial Unicode MS"/>
                <w:bCs/>
                <w:sz w:val="24"/>
                <w:szCs w:val="24"/>
              </w:rPr>
            </w:pPr>
            <w:r w:rsidRPr="0076262A">
              <w:rPr>
                <w:rFonts w:eastAsia="Arial Unicode MS"/>
                <w:bCs/>
                <w:sz w:val="24"/>
                <w:szCs w:val="24"/>
              </w:rPr>
              <w:t>SINDICOM</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b/>
                <w:bCs/>
                <w:sz w:val="24"/>
                <w:szCs w:val="24"/>
              </w:rPr>
            </w:pPr>
            <w:r w:rsidRPr="0076262A">
              <w:rPr>
                <w:b/>
                <w:bCs/>
                <w:sz w:val="24"/>
                <w:szCs w:val="24"/>
              </w:rPr>
              <w:t>Artigo novo</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tcPr>
          <w:p w:rsidR="00416498" w:rsidRPr="0076262A" w:rsidRDefault="00416498" w:rsidP="0076262A">
            <w:pPr>
              <w:jc w:val="center"/>
              <w:rPr>
                <w:b/>
                <w:color w:val="000000"/>
                <w:sz w:val="24"/>
                <w:szCs w:val="24"/>
              </w:rPr>
            </w:pPr>
            <w:r w:rsidRPr="0076262A">
              <w:rPr>
                <w:b/>
                <w:color w:val="000000"/>
                <w:sz w:val="24"/>
                <w:szCs w:val="24"/>
              </w:rPr>
              <w:t>Incluir:</w:t>
            </w:r>
          </w:p>
          <w:p w:rsidR="00416498" w:rsidRPr="0076262A" w:rsidRDefault="00416498" w:rsidP="0076262A">
            <w:pPr>
              <w:jc w:val="center"/>
              <w:rPr>
                <w:b/>
                <w:color w:val="000000"/>
                <w:sz w:val="24"/>
                <w:szCs w:val="24"/>
              </w:rPr>
            </w:pPr>
          </w:p>
          <w:p w:rsidR="00416498" w:rsidRPr="0076262A" w:rsidRDefault="00416498" w:rsidP="0076262A">
            <w:pPr>
              <w:jc w:val="center"/>
              <w:rPr>
                <w:b/>
                <w:color w:val="FF0000"/>
                <w:sz w:val="24"/>
                <w:szCs w:val="24"/>
              </w:rPr>
            </w:pPr>
            <w:r w:rsidRPr="0076262A">
              <w:rPr>
                <w:b/>
                <w:color w:val="FF0000"/>
                <w:sz w:val="24"/>
                <w:szCs w:val="24"/>
              </w:rPr>
              <w:t>XX - O proprietário do veículo/equipamento que irá utilizar a mistura de B8 a B30 deverá fornecer à ANP dados estatísticos de consumo específico, por veículo, sempre que solicitado, para formação de banco de dados.</w:t>
            </w:r>
          </w:p>
          <w:p w:rsidR="00416498" w:rsidRPr="0076262A" w:rsidRDefault="00416498" w:rsidP="0076262A">
            <w:pPr>
              <w:jc w:val="center"/>
              <w:rPr>
                <w:b/>
                <w:color w:val="000000"/>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r w:rsidRPr="0076262A">
              <w:rPr>
                <w:sz w:val="24"/>
                <w:szCs w:val="24"/>
              </w:rPr>
              <w:t>O objetivo desta sugestão é possibilitar a análise científica por parte dos técnicos da ANP das misturas utilizadas.</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BD7779" w:rsidP="0076262A">
            <w:pPr>
              <w:spacing w:before="120" w:after="120"/>
              <w:jc w:val="center"/>
              <w:rPr>
                <w:rFonts w:eastAsia="Arial Unicode MS"/>
                <w:bCs/>
                <w:sz w:val="24"/>
                <w:szCs w:val="24"/>
              </w:rPr>
            </w:pPr>
            <w:r w:rsidRPr="0076262A">
              <w:rPr>
                <w:rFonts w:eastAsia="Arial Unicode MS"/>
                <w:bCs/>
                <w:sz w:val="24"/>
                <w:szCs w:val="24"/>
              </w:rPr>
              <w:t>SINDICOM</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b/>
                <w:bCs/>
                <w:sz w:val="24"/>
                <w:szCs w:val="24"/>
              </w:rPr>
            </w:pPr>
            <w:r w:rsidRPr="0076262A">
              <w:rPr>
                <w:b/>
                <w:sz w:val="24"/>
                <w:szCs w:val="24"/>
              </w:rPr>
              <w:t xml:space="preserve">REGULAMENTO TÉCNICO Nº </w:t>
            </w:r>
            <w:proofErr w:type="spellStart"/>
            <w:r w:rsidRPr="0076262A">
              <w:rPr>
                <w:b/>
                <w:sz w:val="24"/>
                <w:szCs w:val="24"/>
              </w:rPr>
              <w:t>xx</w:t>
            </w:r>
            <w:proofErr w:type="spellEnd"/>
            <w:r w:rsidRPr="0076262A">
              <w:rPr>
                <w:b/>
                <w:sz w:val="24"/>
                <w:szCs w:val="24"/>
                <w:highlight w:val="yellow"/>
              </w:rPr>
              <w:t>/</w:t>
            </w:r>
            <w:r w:rsidRPr="0076262A">
              <w:rPr>
                <w:b/>
                <w:sz w:val="24"/>
                <w:szCs w:val="24"/>
              </w:rPr>
              <w:t xml:space="preserve">2016 </w:t>
            </w:r>
            <w:r w:rsidRPr="0076262A">
              <w:rPr>
                <w:sz w:val="24"/>
                <w:szCs w:val="24"/>
              </w:rPr>
              <w:t>Tabelas I, II e III</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tcPr>
          <w:p w:rsidR="00416498" w:rsidRPr="0076262A" w:rsidRDefault="00416498" w:rsidP="0076262A">
            <w:pPr>
              <w:jc w:val="center"/>
              <w:rPr>
                <w:b/>
                <w:color w:val="000000"/>
                <w:sz w:val="24"/>
                <w:szCs w:val="24"/>
              </w:rPr>
            </w:pPr>
            <w:r w:rsidRPr="0076262A">
              <w:rPr>
                <w:b/>
                <w:color w:val="000000"/>
                <w:sz w:val="24"/>
                <w:szCs w:val="24"/>
              </w:rPr>
              <w:t>Excluir:</w:t>
            </w:r>
          </w:p>
          <w:p w:rsidR="00416498" w:rsidRPr="0076262A" w:rsidRDefault="00416498" w:rsidP="0076262A">
            <w:pPr>
              <w:jc w:val="center"/>
              <w:rPr>
                <w:b/>
                <w:color w:val="000000"/>
                <w:sz w:val="24"/>
                <w:szCs w:val="24"/>
              </w:rPr>
            </w:pPr>
          </w:p>
          <w:p w:rsidR="00416498" w:rsidRPr="0076262A" w:rsidRDefault="00416498" w:rsidP="0076262A">
            <w:pPr>
              <w:jc w:val="center"/>
              <w:rPr>
                <w:b/>
                <w:color w:val="000000"/>
                <w:sz w:val="24"/>
                <w:szCs w:val="24"/>
              </w:rPr>
            </w:pPr>
            <w:r w:rsidRPr="0076262A">
              <w:rPr>
                <w:strike/>
                <w:color w:val="FF0000"/>
                <w:sz w:val="24"/>
                <w:szCs w:val="24"/>
              </w:rPr>
              <w:t>ABNT NBR 15568, ASTM D7371 e CEN/ISO EN 14078</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sz w:val="24"/>
                <w:szCs w:val="24"/>
              </w:rPr>
            </w:pPr>
          </w:p>
          <w:p w:rsidR="00416498" w:rsidRPr="0076262A" w:rsidRDefault="00416498" w:rsidP="0076262A">
            <w:pPr>
              <w:jc w:val="center"/>
              <w:rPr>
                <w:sz w:val="24"/>
                <w:szCs w:val="24"/>
              </w:rPr>
            </w:pPr>
            <w:proofErr w:type="gramStart"/>
            <w:r w:rsidRPr="0076262A">
              <w:rPr>
                <w:sz w:val="24"/>
                <w:szCs w:val="24"/>
              </w:rPr>
              <w:t>A  redação</w:t>
            </w:r>
            <w:proofErr w:type="gramEnd"/>
            <w:r w:rsidRPr="0076262A">
              <w:rPr>
                <w:sz w:val="24"/>
                <w:szCs w:val="24"/>
              </w:rPr>
              <w:t xml:space="preserve"> do Art. 5º , § 1º, II deixa claro que o teor de biodiesel na mistura não será analisado. Será informado. De fato, na Tabela IV não há referência ao teor de biodiesel. A citação das normas de análise nas Tabelas I, II e III lança confusão sobre o entendimento.</w:t>
            </w:r>
          </w:p>
          <w:p w:rsidR="00416498" w:rsidRPr="0076262A" w:rsidRDefault="00416498" w:rsidP="0076262A">
            <w:pPr>
              <w:jc w:val="center"/>
              <w:rPr>
                <w:sz w:val="24"/>
                <w:szCs w:val="24"/>
              </w:rPr>
            </w:pP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BD7779" w:rsidP="0076262A">
            <w:pPr>
              <w:spacing w:before="120" w:after="120"/>
              <w:jc w:val="center"/>
              <w:rPr>
                <w:rFonts w:eastAsia="Arial Unicode MS"/>
                <w:bCs/>
                <w:sz w:val="24"/>
                <w:szCs w:val="24"/>
              </w:rPr>
            </w:pPr>
            <w:r w:rsidRPr="0076262A">
              <w:rPr>
                <w:rFonts w:eastAsia="Arial Unicode MS"/>
                <w:bCs/>
                <w:sz w:val="24"/>
                <w:szCs w:val="24"/>
              </w:rPr>
              <w:t>SINDICOM</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b/>
                <w:bCs/>
                <w:sz w:val="24"/>
                <w:szCs w:val="24"/>
              </w:rPr>
            </w:pPr>
            <w:r w:rsidRPr="0076262A">
              <w:rPr>
                <w:b/>
                <w:sz w:val="24"/>
                <w:szCs w:val="24"/>
              </w:rPr>
              <w:t xml:space="preserve">REGULAMENTO TÉCNICO Nº </w:t>
            </w:r>
            <w:proofErr w:type="spellStart"/>
            <w:r w:rsidRPr="0076262A">
              <w:rPr>
                <w:b/>
                <w:sz w:val="24"/>
                <w:szCs w:val="24"/>
              </w:rPr>
              <w:t>xx</w:t>
            </w:r>
            <w:proofErr w:type="spellEnd"/>
            <w:r w:rsidRPr="0076262A">
              <w:rPr>
                <w:b/>
                <w:sz w:val="24"/>
                <w:szCs w:val="24"/>
              </w:rPr>
              <w:t>/2016</w:t>
            </w:r>
            <w:r w:rsidRPr="0076262A">
              <w:rPr>
                <w:b/>
                <w:bCs/>
                <w:sz w:val="24"/>
                <w:szCs w:val="24"/>
              </w:rPr>
              <w:t xml:space="preserve">  </w:t>
            </w:r>
            <w:r w:rsidRPr="0076262A">
              <w:rPr>
                <w:sz w:val="24"/>
                <w:szCs w:val="24"/>
              </w:rPr>
              <w:t>Tabela IV Condutividade elétrica, mín. (10)</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b/>
                <w:sz w:val="24"/>
                <w:szCs w:val="24"/>
              </w:rPr>
            </w:pPr>
            <w:r w:rsidRPr="0076262A">
              <w:rPr>
                <w:b/>
                <w:sz w:val="24"/>
                <w:szCs w:val="24"/>
              </w:rPr>
              <w:t>Excluir:</w:t>
            </w:r>
          </w:p>
          <w:p w:rsidR="00416498" w:rsidRPr="0076262A" w:rsidRDefault="00416498" w:rsidP="0076262A">
            <w:pPr>
              <w:spacing w:before="100" w:beforeAutospacing="1" w:after="100" w:afterAutospacing="1"/>
              <w:jc w:val="center"/>
              <w:rPr>
                <w:strike/>
                <w:color w:val="FF0000"/>
                <w:sz w:val="24"/>
                <w:szCs w:val="24"/>
              </w:rPr>
            </w:pPr>
            <w:r w:rsidRPr="0076262A">
              <w:rPr>
                <w:strike/>
                <w:color w:val="FF0000"/>
                <w:sz w:val="24"/>
                <w:szCs w:val="24"/>
              </w:rPr>
              <w:t>(10) Limite requerido no momento e na temperatura do carregamento/bombeio do combustível pelo distribuidor.</w:t>
            </w:r>
          </w:p>
          <w:p w:rsidR="00416498" w:rsidRPr="0076262A" w:rsidRDefault="00416498" w:rsidP="0076262A">
            <w:pPr>
              <w:jc w:val="center"/>
              <w:rPr>
                <w:rFonts w:eastAsia="Arial Unicode MS"/>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sz w:val="24"/>
                <w:szCs w:val="24"/>
              </w:rPr>
            </w:pPr>
            <w:r w:rsidRPr="0076262A">
              <w:rPr>
                <w:sz w:val="24"/>
                <w:szCs w:val="24"/>
              </w:rPr>
              <w:t>O text</w:t>
            </w:r>
            <w:bookmarkStart w:id="0" w:name="_GoBack"/>
            <w:bookmarkEnd w:id="0"/>
            <w:r w:rsidRPr="0076262A">
              <w:rPr>
                <w:sz w:val="24"/>
                <w:szCs w:val="24"/>
              </w:rPr>
              <w:t xml:space="preserve">o dá margem a conflito de interpretação. De acordo com </w:t>
            </w:r>
            <w:proofErr w:type="gramStart"/>
            <w:r w:rsidRPr="0076262A">
              <w:rPr>
                <w:sz w:val="24"/>
                <w:szCs w:val="24"/>
              </w:rPr>
              <w:t>o ,</w:t>
            </w:r>
            <w:proofErr w:type="gramEnd"/>
            <w:r w:rsidRPr="0076262A">
              <w:rPr>
                <w:sz w:val="24"/>
                <w:szCs w:val="24"/>
              </w:rPr>
              <w:t xml:space="preserve"> Art. 5º a análise deve ser feita por um profissional de química e, consequentemente, longe do local onde se dá o carregamento do caminhão.</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BD7779" w:rsidP="0076262A">
            <w:pPr>
              <w:spacing w:before="120" w:after="120"/>
              <w:jc w:val="center"/>
              <w:rPr>
                <w:rFonts w:eastAsia="Arial Unicode MS"/>
                <w:bCs/>
                <w:sz w:val="24"/>
                <w:szCs w:val="24"/>
              </w:rPr>
            </w:pPr>
            <w:r w:rsidRPr="0076262A">
              <w:rPr>
                <w:rFonts w:eastAsia="Arial Unicode MS"/>
                <w:bCs/>
                <w:sz w:val="24"/>
                <w:szCs w:val="24"/>
              </w:rPr>
              <w:t>SINDICOM</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b/>
                <w:bCs/>
                <w:sz w:val="24"/>
                <w:szCs w:val="24"/>
              </w:rPr>
            </w:pPr>
            <w:r w:rsidRPr="0076262A">
              <w:rPr>
                <w:b/>
                <w:sz w:val="24"/>
                <w:szCs w:val="24"/>
              </w:rPr>
              <w:t xml:space="preserve">REGULAMENTO TÉCNICO Nº </w:t>
            </w:r>
            <w:proofErr w:type="spellStart"/>
            <w:r w:rsidRPr="0076262A">
              <w:rPr>
                <w:b/>
                <w:sz w:val="24"/>
                <w:szCs w:val="24"/>
              </w:rPr>
              <w:lastRenderedPageBreak/>
              <w:t>xx</w:t>
            </w:r>
            <w:proofErr w:type="spellEnd"/>
            <w:r w:rsidRPr="0076262A">
              <w:rPr>
                <w:b/>
                <w:sz w:val="24"/>
                <w:szCs w:val="24"/>
              </w:rPr>
              <w:t>/2016</w:t>
            </w:r>
            <w:r w:rsidRPr="0076262A">
              <w:rPr>
                <w:b/>
                <w:bCs/>
                <w:sz w:val="24"/>
                <w:szCs w:val="24"/>
              </w:rPr>
              <w:t xml:space="preserve">  </w:t>
            </w:r>
            <w:r w:rsidRPr="0076262A">
              <w:rPr>
                <w:sz w:val="24"/>
                <w:szCs w:val="24"/>
              </w:rPr>
              <w:t>Tabela IV Destilação / 50% vol. (8)</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tcPr>
          <w:p w:rsidR="00416498" w:rsidRPr="0076262A" w:rsidRDefault="00416498" w:rsidP="0076262A">
            <w:pPr>
              <w:jc w:val="center"/>
              <w:rPr>
                <w:b/>
                <w:sz w:val="24"/>
                <w:szCs w:val="24"/>
              </w:rPr>
            </w:pPr>
            <w:r w:rsidRPr="0076262A">
              <w:rPr>
                <w:b/>
                <w:sz w:val="24"/>
                <w:szCs w:val="24"/>
              </w:rPr>
              <w:lastRenderedPageBreak/>
              <w:t xml:space="preserve">Excluir da Destilação / 50% </w:t>
            </w:r>
            <w:proofErr w:type="spellStart"/>
            <w:r w:rsidRPr="0076262A">
              <w:rPr>
                <w:b/>
                <w:sz w:val="24"/>
                <w:szCs w:val="24"/>
              </w:rPr>
              <w:t>vol</w:t>
            </w:r>
            <w:proofErr w:type="spellEnd"/>
            <w:r w:rsidRPr="0076262A">
              <w:rPr>
                <w:b/>
                <w:sz w:val="24"/>
                <w:szCs w:val="24"/>
              </w:rPr>
              <w:t xml:space="preserve"> a Nota (8):</w:t>
            </w:r>
          </w:p>
          <w:p w:rsidR="00416498" w:rsidRPr="0076262A" w:rsidRDefault="00416498" w:rsidP="0076262A">
            <w:pPr>
              <w:jc w:val="center"/>
              <w:rPr>
                <w:sz w:val="24"/>
                <w:szCs w:val="24"/>
              </w:rPr>
            </w:pPr>
          </w:p>
          <w:p w:rsidR="00416498" w:rsidRPr="0076262A" w:rsidRDefault="00416498" w:rsidP="0076262A">
            <w:pPr>
              <w:jc w:val="center"/>
              <w:rPr>
                <w:rFonts w:eastAsia="Arial Unicode MS"/>
                <w:sz w:val="24"/>
                <w:szCs w:val="24"/>
              </w:rPr>
            </w:pPr>
            <w:r w:rsidRPr="0076262A">
              <w:rPr>
                <w:strike/>
                <w:color w:val="FF0000"/>
                <w:sz w:val="24"/>
                <w:szCs w:val="24"/>
              </w:rPr>
              <w:t>(8) Limites conforme Tabela V.</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416498" w:rsidRPr="0076262A" w:rsidRDefault="00416498" w:rsidP="0076262A">
            <w:pPr>
              <w:jc w:val="center"/>
              <w:rPr>
                <w:rFonts w:eastAsia="Arial Unicode MS"/>
                <w:sz w:val="24"/>
                <w:szCs w:val="24"/>
              </w:rPr>
            </w:pPr>
            <w:r w:rsidRPr="0076262A">
              <w:rPr>
                <w:sz w:val="24"/>
                <w:szCs w:val="24"/>
              </w:rPr>
              <w:t xml:space="preserve">A observação (8) se aplica ao Ponto de Entupimento a Frio. </w:t>
            </w:r>
            <w:proofErr w:type="spellStart"/>
            <w:r w:rsidRPr="0076262A">
              <w:rPr>
                <w:sz w:val="24"/>
                <w:szCs w:val="24"/>
              </w:rPr>
              <w:t>Smj</w:t>
            </w:r>
            <w:proofErr w:type="spellEnd"/>
            <w:r w:rsidRPr="0076262A">
              <w:rPr>
                <w:sz w:val="24"/>
                <w:szCs w:val="24"/>
              </w:rPr>
              <w:t>, não cabem observações quanto à Destilação / 50%</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BD7779" w:rsidRPr="0076262A" w:rsidRDefault="00BD7779" w:rsidP="0076262A">
            <w:pPr>
              <w:spacing w:before="120" w:after="120"/>
              <w:jc w:val="center"/>
              <w:rPr>
                <w:rFonts w:eastAsia="Arial Unicode MS"/>
                <w:bCs/>
                <w:sz w:val="24"/>
                <w:szCs w:val="24"/>
              </w:rPr>
            </w:pPr>
            <w:r w:rsidRPr="0076262A">
              <w:rPr>
                <w:rFonts w:eastAsia="Arial Unicode MS"/>
                <w:bCs/>
                <w:sz w:val="24"/>
                <w:szCs w:val="24"/>
              </w:rPr>
              <w:t>VALE</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BD7779" w:rsidRPr="0076262A" w:rsidRDefault="00BD7779" w:rsidP="0076262A">
            <w:pPr>
              <w:jc w:val="center"/>
              <w:rPr>
                <w:rFonts w:eastAsia="Arial Unicode MS"/>
                <w:b/>
                <w:bCs/>
                <w:color w:val="000000"/>
                <w:sz w:val="24"/>
                <w:szCs w:val="24"/>
              </w:rPr>
            </w:pPr>
          </w:p>
          <w:p w:rsidR="00BD7779" w:rsidRPr="0076262A" w:rsidRDefault="00BD7779" w:rsidP="0076262A">
            <w:pPr>
              <w:jc w:val="center"/>
              <w:rPr>
                <w:rFonts w:eastAsia="Arial Unicode MS"/>
                <w:b/>
                <w:bCs/>
                <w:sz w:val="24"/>
                <w:szCs w:val="24"/>
              </w:rPr>
            </w:pPr>
            <w:r w:rsidRPr="0076262A">
              <w:rPr>
                <w:b/>
                <w:bCs/>
                <w:sz w:val="24"/>
                <w:szCs w:val="24"/>
              </w:rPr>
              <w:t>ART 4º</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BD7779" w:rsidRPr="0076262A" w:rsidRDefault="00BD7779" w:rsidP="0076262A">
            <w:pPr>
              <w:tabs>
                <w:tab w:val="left" w:pos="720"/>
                <w:tab w:val="left" w:pos="1698"/>
                <w:tab w:val="left" w:pos="2304"/>
                <w:tab w:val="left" w:pos="2820"/>
                <w:tab w:val="left" w:pos="2880"/>
                <w:tab w:val="left" w:pos="3601"/>
                <w:tab w:val="left" w:pos="4322"/>
                <w:tab w:val="left" w:pos="5043"/>
                <w:tab w:val="left" w:pos="5761"/>
                <w:tab w:val="left" w:pos="6482"/>
                <w:tab w:val="left" w:pos="7203"/>
                <w:tab w:val="left" w:pos="7923"/>
                <w:tab w:val="left" w:pos="8641"/>
                <w:tab w:val="left" w:pos="9362"/>
                <w:tab w:val="left" w:pos="10083"/>
                <w:tab w:val="left" w:pos="10801"/>
                <w:tab w:val="left" w:pos="11522"/>
                <w:tab w:val="left" w:pos="12243"/>
                <w:tab w:val="left" w:pos="12964"/>
                <w:tab w:val="left" w:pos="13682"/>
                <w:tab w:val="left" w:pos="14403"/>
                <w:tab w:val="left" w:pos="15123"/>
                <w:tab w:val="left" w:pos="15844"/>
                <w:tab w:val="left" w:pos="16562"/>
                <w:tab w:val="left" w:pos="17283"/>
                <w:tab w:val="left" w:pos="18004"/>
                <w:tab w:val="left" w:pos="18722"/>
                <w:tab w:val="left" w:pos="19443"/>
                <w:tab w:val="left" w:pos="20164"/>
                <w:tab w:val="left" w:pos="20885"/>
              </w:tabs>
              <w:suppressAutoHyphens/>
              <w:spacing w:before="81" w:after="40"/>
              <w:jc w:val="center"/>
              <w:rPr>
                <w:sz w:val="24"/>
                <w:szCs w:val="24"/>
              </w:rPr>
            </w:pPr>
            <w:r w:rsidRPr="0076262A">
              <w:rPr>
                <w:sz w:val="24"/>
                <w:szCs w:val="24"/>
              </w:rPr>
              <w:t>Ficam tanto o distribuidor de combustíveis líquidos quanto o produtor de biodiesel responsáveis pela formulação e comercialização de óleo diesel B8 a B30, observados os dispositivos constantes da Resolução CNPE n°3/2015.</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BD7779" w:rsidRPr="0076262A" w:rsidRDefault="00BD7779" w:rsidP="0076262A">
            <w:pPr>
              <w:jc w:val="center"/>
              <w:rPr>
                <w:sz w:val="24"/>
                <w:szCs w:val="24"/>
              </w:rPr>
            </w:pPr>
          </w:p>
          <w:p w:rsidR="00BD7779" w:rsidRPr="0076262A" w:rsidRDefault="00BD7779" w:rsidP="0076262A">
            <w:pPr>
              <w:jc w:val="center"/>
              <w:rPr>
                <w:sz w:val="24"/>
                <w:szCs w:val="24"/>
              </w:rPr>
            </w:pPr>
            <w:r w:rsidRPr="0076262A">
              <w:rPr>
                <w:sz w:val="24"/>
                <w:szCs w:val="24"/>
              </w:rPr>
              <w:t>Entendemos que a possibilidade de realização da mistura e de comercialização de biodiesel pelos produtores de biodiesel poderá trazer ganhos com custos logísticos.</w:t>
            </w:r>
          </w:p>
          <w:p w:rsidR="00BD7779" w:rsidRPr="0076262A" w:rsidRDefault="00BD7779" w:rsidP="0076262A">
            <w:pPr>
              <w:jc w:val="center"/>
              <w:rPr>
                <w:sz w:val="24"/>
                <w:szCs w:val="24"/>
              </w:rPr>
            </w:pPr>
          </w:p>
          <w:p w:rsidR="00BD7779" w:rsidRPr="0076262A" w:rsidRDefault="00BD7779" w:rsidP="0076262A">
            <w:pPr>
              <w:jc w:val="center"/>
              <w:rPr>
                <w:sz w:val="24"/>
                <w:szCs w:val="24"/>
              </w:rPr>
            </w:pPr>
            <w:r w:rsidRPr="0076262A">
              <w:rPr>
                <w:sz w:val="24"/>
                <w:szCs w:val="24"/>
              </w:rPr>
              <w:t>Sabemos que há outras regulações que deverão ser revisadas e que a fiscalização deverá ser maior, mas entendemos que isso faz parte do processo de evolução do mercado.</w:t>
            </w:r>
          </w:p>
          <w:p w:rsidR="00BD7779" w:rsidRPr="0076262A" w:rsidRDefault="00BD7779" w:rsidP="0076262A">
            <w:pPr>
              <w:jc w:val="center"/>
              <w:rPr>
                <w:rFonts w:eastAsia="Arial Unicode MS"/>
                <w:sz w:val="24"/>
                <w:szCs w:val="24"/>
              </w:rPr>
            </w:pP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BD7779" w:rsidRPr="0076262A" w:rsidRDefault="00BD7779" w:rsidP="0076262A">
            <w:pPr>
              <w:spacing w:before="120" w:after="120"/>
              <w:jc w:val="center"/>
              <w:rPr>
                <w:rFonts w:eastAsia="Arial Unicode MS"/>
                <w:bCs/>
                <w:sz w:val="24"/>
                <w:szCs w:val="24"/>
              </w:rPr>
            </w:pPr>
            <w:r w:rsidRPr="0076262A">
              <w:rPr>
                <w:rFonts w:eastAsia="Arial Unicode MS"/>
                <w:bCs/>
                <w:sz w:val="24"/>
                <w:szCs w:val="24"/>
              </w:rPr>
              <w:t>VALE</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BD7779" w:rsidRPr="0076262A" w:rsidRDefault="00BD7779" w:rsidP="0076262A">
            <w:pPr>
              <w:jc w:val="center"/>
              <w:rPr>
                <w:rFonts w:eastAsia="Arial Unicode MS"/>
                <w:b/>
                <w:bCs/>
                <w:sz w:val="24"/>
                <w:szCs w:val="24"/>
              </w:rPr>
            </w:pPr>
            <w:r w:rsidRPr="0076262A">
              <w:rPr>
                <w:b/>
                <w:bCs/>
                <w:color w:val="000000"/>
                <w:sz w:val="24"/>
                <w:szCs w:val="24"/>
              </w:rPr>
              <w:t>Geral</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BD7779" w:rsidRPr="0076262A" w:rsidRDefault="00BD7779" w:rsidP="0076262A">
            <w:pPr>
              <w:jc w:val="center"/>
              <w:rPr>
                <w:sz w:val="24"/>
                <w:szCs w:val="24"/>
              </w:rPr>
            </w:pPr>
            <w:r w:rsidRPr="0076262A">
              <w:rPr>
                <w:sz w:val="24"/>
                <w:szCs w:val="24"/>
              </w:rPr>
              <w:t>Substituir “Distribuidor de combustíveis líquidos” por “Agente comercializador de biodiesel”</w:t>
            </w:r>
          </w:p>
          <w:p w:rsidR="00BD7779" w:rsidRPr="0076262A" w:rsidRDefault="00BD7779" w:rsidP="0076262A">
            <w:pPr>
              <w:jc w:val="center"/>
              <w:rPr>
                <w:rFonts w:eastAsia="Arial Unicode MS"/>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BD7779" w:rsidRPr="0076262A" w:rsidRDefault="00BD7779" w:rsidP="0076262A">
            <w:pPr>
              <w:jc w:val="center"/>
              <w:rPr>
                <w:rFonts w:eastAsia="Arial Unicode MS"/>
                <w:sz w:val="24"/>
                <w:szCs w:val="24"/>
              </w:rPr>
            </w:pPr>
            <w:r w:rsidRPr="0076262A">
              <w:rPr>
                <w:sz w:val="24"/>
                <w:szCs w:val="24"/>
              </w:rPr>
              <w:t xml:space="preserve">Idem </w:t>
            </w:r>
            <w:proofErr w:type="spellStart"/>
            <w:r w:rsidRPr="0076262A">
              <w:rPr>
                <w:sz w:val="24"/>
                <w:szCs w:val="24"/>
              </w:rPr>
              <w:t>art</w:t>
            </w:r>
            <w:proofErr w:type="spellEnd"/>
            <w:r w:rsidRPr="0076262A">
              <w:rPr>
                <w:sz w:val="24"/>
                <w:szCs w:val="24"/>
              </w:rPr>
              <w:t xml:space="preserve"> 4º</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89589D" w:rsidRPr="0076262A" w:rsidRDefault="0089589D" w:rsidP="0076262A">
            <w:pPr>
              <w:spacing w:before="120" w:after="120"/>
              <w:jc w:val="center"/>
              <w:rPr>
                <w:rFonts w:eastAsia="Arial Unicode MS"/>
                <w:bCs/>
                <w:sz w:val="24"/>
                <w:szCs w:val="24"/>
              </w:rPr>
            </w:pPr>
            <w:r w:rsidRPr="0076262A">
              <w:rPr>
                <w:rFonts w:eastAsia="Arial Unicode MS"/>
                <w:bCs/>
                <w:sz w:val="24"/>
                <w:szCs w:val="24"/>
              </w:rPr>
              <w:t>AEA</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b/>
                <w:bCs/>
                <w:sz w:val="24"/>
                <w:szCs w:val="24"/>
              </w:rPr>
            </w:pPr>
            <w:r w:rsidRPr="0076262A">
              <w:rPr>
                <w:b/>
                <w:bCs/>
                <w:sz w:val="24"/>
                <w:szCs w:val="24"/>
              </w:rPr>
              <w:t>Seção II</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sz w:val="24"/>
                <w:szCs w:val="24"/>
              </w:rPr>
              <w:t>Inclusão de artigo que obrigue o distribuidor de combustíveis a informar o usuário do óleo diesel B8 a B30 para uso específico sobre medidas preventivas que evitem a degradação precoce do combustível.</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ind w:left="56"/>
              <w:jc w:val="center"/>
              <w:rPr>
                <w:rFonts w:eastAsia="Arial Unicode MS"/>
                <w:sz w:val="24"/>
                <w:szCs w:val="24"/>
              </w:rPr>
            </w:pPr>
            <w:r w:rsidRPr="0076262A">
              <w:rPr>
                <w:sz w:val="24"/>
                <w:szCs w:val="24"/>
              </w:rPr>
              <w:t>A autorização de utilização de teores mais elevados de biodiesel em aplicações críticas em relação à conservação da qualidade do combustível ao longo do tempo pode gerar mais falhas de campo do que as observadas até o momento. Menção específica às aplicações agrícolas, industriais e de geração de energia. Estas podem ficar paradas por períodos extensos, possibilitando a degradação do combustível e consequente falha do equipamento. Sugere-se que o usuário final seja adequadamente informado sobre os riscos e medidas preventivas.</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89589D" w:rsidRPr="0076262A" w:rsidRDefault="0089589D" w:rsidP="0076262A">
            <w:pPr>
              <w:spacing w:before="120" w:after="120"/>
              <w:jc w:val="center"/>
              <w:rPr>
                <w:rFonts w:eastAsia="Arial Unicode MS"/>
                <w:bCs/>
                <w:sz w:val="24"/>
                <w:szCs w:val="24"/>
              </w:rPr>
            </w:pPr>
            <w:r w:rsidRPr="0076262A">
              <w:rPr>
                <w:rFonts w:eastAsia="Arial Unicode MS"/>
                <w:bCs/>
                <w:sz w:val="24"/>
                <w:szCs w:val="24"/>
              </w:rPr>
              <w:lastRenderedPageBreak/>
              <w:t>AEA</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b/>
                <w:bCs/>
                <w:sz w:val="24"/>
                <w:szCs w:val="24"/>
              </w:rPr>
            </w:pPr>
            <w:r w:rsidRPr="0076262A">
              <w:rPr>
                <w:b/>
                <w:sz w:val="24"/>
                <w:szCs w:val="24"/>
              </w:rPr>
              <w:t>Seção III</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sz w:val="24"/>
                <w:szCs w:val="24"/>
              </w:rPr>
              <w:t>Inclusão de artigo para revisão desta resolução em caso de introdução de novas tecnologias ligadas ao sistema de combustível, combustão e exaustão devido a novas exigências ambientais com o objetivo de realização de testes de compatibilidade e confiabilidade com os teores mais elevados de biodiesel.</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sz w:val="24"/>
                <w:szCs w:val="24"/>
              </w:rPr>
              <w:t>Em caso de introdução de novas tecnologias automotivas devido a novas fases de controle de emissões ou outros programas governamentais, sugere-se a realização de testes de compatibilidade e confiabilidade com os teores mais elevados de biodiesel. O intuito é certificar que estas tecnologias estão aptas a funcionar com estes teores e/ou revisar esta especificação para ajustes às novas tecnologias.</w:t>
            </w:r>
          </w:p>
        </w:tc>
      </w:tr>
      <w:tr w:rsidR="00FE3463" w:rsidRPr="001B64E0" w:rsidTr="0076262A">
        <w:trPr>
          <w:trHeight w:val="2132"/>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89589D" w:rsidRPr="0076262A" w:rsidRDefault="0089589D" w:rsidP="0076262A">
            <w:pPr>
              <w:spacing w:before="120" w:after="120"/>
              <w:jc w:val="center"/>
              <w:rPr>
                <w:rFonts w:eastAsia="Arial Unicode MS"/>
                <w:bCs/>
                <w:sz w:val="24"/>
                <w:szCs w:val="24"/>
              </w:rPr>
            </w:pPr>
            <w:r w:rsidRPr="0076262A">
              <w:rPr>
                <w:rFonts w:eastAsia="Arial Unicode MS"/>
                <w:bCs/>
                <w:sz w:val="24"/>
                <w:szCs w:val="24"/>
              </w:rPr>
              <w:t>AEA</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b/>
                <w:bCs/>
                <w:sz w:val="24"/>
                <w:szCs w:val="24"/>
              </w:rPr>
            </w:pPr>
            <w:r w:rsidRPr="0076262A">
              <w:rPr>
                <w:sz w:val="24"/>
                <w:szCs w:val="24"/>
              </w:rPr>
              <w:t>Art. 7º-II</w:t>
            </w:r>
          </w:p>
          <w:p w:rsidR="0089589D" w:rsidRPr="0076262A" w:rsidRDefault="0089589D" w:rsidP="0076262A">
            <w:pPr>
              <w:jc w:val="center"/>
              <w:rPr>
                <w:rFonts w:eastAsia="Arial Unicode MS"/>
                <w:b/>
                <w:bCs/>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sz w:val="24"/>
                <w:szCs w:val="24"/>
              </w:rPr>
              <w:t xml:space="preserve">Declaração de garantia do fabricante </w:t>
            </w:r>
            <w:r w:rsidRPr="0076262A">
              <w:rPr>
                <w:sz w:val="24"/>
                <w:szCs w:val="24"/>
                <w:u w:val="single"/>
              </w:rPr>
              <w:t>do veículo e/ou</w:t>
            </w:r>
            <w:r w:rsidRPr="0076262A">
              <w:rPr>
                <w:sz w:val="24"/>
                <w:szCs w:val="24"/>
              </w:rPr>
              <w:t xml:space="preserve"> do motor para o uso que se propõe </w:t>
            </w:r>
            <w:r w:rsidRPr="0076262A">
              <w:rPr>
                <w:sz w:val="24"/>
                <w:szCs w:val="24"/>
                <w:u w:val="single"/>
              </w:rPr>
              <w:t>antes do início da utilização do produto.</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sz w:val="24"/>
                <w:szCs w:val="24"/>
              </w:rPr>
              <w:t>Antes de iniciar a comercialização da mistura específica, o utilizador do combustível deveria verificar com o fabricante do motor e do veículo se existe garantia para o uso da mistura pretendida para o uso proposto. Assim evita-se o risco de o utilizador perder a garantia do veículo e/ou equipamento caso utilize a mistura em condições não previamente validadas ou testadas.</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89589D" w:rsidRPr="0076262A" w:rsidRDefault="0089589D" w:rsidP="0076262A">
            <w:pPr>
              <w:spacing w:before="120" w:after="120"/>
              <w:jc w:val="center"/>
              <w:rPr>
                <w:rFonts w:eastAsia="Arial Unicode MS"/>
                <w:bCs/>
                <w:sz w:val="24"/>
                <w:szCs w:val="24"/>
              </w:rPr>
            </w:pPr>
            <w:r w:rsidRPr="0076262A">
              <w:rPr>
                <w:rFonts w:eastAsia="Arial Unicode MS"/>
                <w:bCs/>
                <w:sz w:val="24"/>
                <w:szCs w:val="24"/>
              </w:rPr>
              <w:t>APROBIO</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b/>
                <w:bCs/>
                <w:sz w:val="24"/>
                <w:szCs w:val="24"/>
              </w:rPr>
            </w:pPr>
            <w:r w:rsidRPr="0076262A">
              <w:rPr>
                <w:rFonts w:eastAsia="Arial Unicode MS"/>
                <w:b/>
                <w:bCs/>
                <w:sz w:val="24"/>
                <w:szCs w:val="24"/>
              </w:rPr>
              <w:t>Art. 1º § único</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rFonts w:eastAsia="Arial Unicode MS"/>
                <w:sz w:val="24"/>
                <w:szCs w:val="24"/>
              </w:rPr>
              <w:t xml:space="preserve">Incluir o texto em negrito: “... por ponto de abastecimento </w:t>
            </w:r>
            <w:r w:rsidRPr="0076262A">
              <w:rPr>
                <w:rFonts w:eastAsia="Arial Unicode MS"/>
                <w:b/>
                <w:sz w:val="24"/>
                <w:szCs w:val="24"/>
              </w:rPr>
              <w:t>fica condicionado à prévia anuência da ANP e</w:t>
            </w:r>
            <w:r w:rsidRPr="0076262A">
              <w:rPr>
                <w:rFonts w:eastAsia="Arial Unicode MS"/>
                <w:sz w:val="24"/>
                <w:szCs w:val="24"/>
              </w:rPr>
              <w:t xml:space="preserve"> deverá atender ...”</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rFonts w:eastAsia="Arial Unicode MS"/>
                <w:sz w:val="24"/>
                <w:szCs w:val="24"/>
              </w:rPr>
              <w:t>Ajuste para dar maior aderência ao definido na resolução CNPE nº 03, de 21 de setembro de 2015.</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89589D" w:rsidRPr="0076262A" w:rsidRDefault="0089589D" w:rsidP="0076262A">
            <w:pPr>
              <w:spacing w:before="120" w:after="120"/>
              <w:jc w:val="center"/>
              <w:rPr>
                <w:rFonts w:eastAsia="Arial Unicode MS"/>
                <w:bCs/>
                <w:sz w:val="24"/>
                <w:szCs w:val="24"/>
              </w:rPr>
            </w:pPr>
            <w:r w:rsidRPr="0076262A">
              <w:rPr>
                <w:rFonts w:eastAsia="Arial Unicode MS"/>
                <w:bCs/>
                <w:sz w:val="24"/>
                <w:szCs w:val="24"/>
              </w:rPr>
              <w:t>APROBIO</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b/>
                <w:bCs/>
                <w:sz w:val="24"/>
                <w:szCs w:val="24"/>
              </w:rPr>
            </w:pPr>
            <w:r w:rsidRPr="0076262A">
              <w:rPr>
                <w:rFonts w:eastAsia="Arial Unicode MS"/>
                <w:b/>
                <w:bCs/>
                <w:sz w:val="24"/>
                <w:szCs w:val="24"/>
              </w:rPr>
              <w:t>Art.4º</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rFonts w:eastAsia="Arial Unicode MS"/>
                <w:sz w:val="24"/>
                <w:szCs w:val="24"/>
              </w:rPr>
              <w:t>“Fica o distribuidor de combustíveis líquidos responsáveis pela formulação e comercialização de óleo diesel B8 a B30, observados os dispositivos constantes da Resolução CNPE n°3/2015.”</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rFonts w:eastAsia="Arial Unicode MS"/>
                <w:sz w:val="24"/>
                <w:szCs w:val="24"/>
                <w:u w:val="single"/>
              </w:rPr>
              <w:t>Comentário</w:t>
            </w:r>
            <w:r w:rsidRPr="0076262A">
              <w:rPr>
                <w:rFonts w:eastAsia="Arial Unicode MS"/>
                <w:sz w:val="24"/>
                <w:szCs w:val="24"/>
              </w:rPr>
              <w:t xml:space="preserve">: Deveria ser avaliada a possibilidade de realizar a mistura no momento do abastecimento, por bomba de mistura com controle automático para garantia da homogeneidade. Assim, o B20/B30 seria misturado apenas na hora do uso. O </w:t>
            </w:r>
            <w:proofErr w:type="spellStart"/>
            <w:r w:rsidRPr="0076262A">
              <w:rPr>
                <w:rFonts w:eastAsia="Arial Unicode MS"/>
                <w:sz w:val="24"/>
                <w:szCs w:val="24"/>
              </w:rPr>
              <w:t>frotista</w:t>
            </w:r>
            <w:proofErr w:type="spellEnd"/>
            <w:r w:rsidRPr="0076262A">
              <w:rPr>
                <w:rFonts w:eastAsia="Arial Unicode MS"/>
                <w:sz w:val="24"/>
                <w:szCs w:val="24"/>
              </w:rPr>
              <w:t xml:space="preserve"> não precisaria de dois tanques grandes, um para B7 e outro para B20.</w:t>
            </w:r>
          </w:p>
          <w:p w:rsidR="0089589D" w:rsidRPr="0076262A" w:rsidRDefault="0089589D" w:rsidP="0076262A">
            <w:pPr>
              <w:jc w:val="center"/>
              <w:rPr>
                <w:rFonts w:eastAsia="Arial Unicode MS"/>
                <w:sz w:val="24"/>
                <w:szCs w:val="24"/>
              </w:rPr>
            </w:pPr>
            <w:r w:rsidRPr="0076262A">
              <w:rPr>
                <w:rFonts w:eastAsia="Arial Unicode MS"/>
                <w:sz w:val="24"/>
                <w:szCs w:val="24"/>
              </w:rPr>
              <w:t>Exemplo: para cada 100 l de B20 é necessário misturar 86 l de B7 e 14 de B100, um tanque de 1 m³ seria suficiente para abastecer 7.143 litros de B20.</w:t>
            </w:r>
          </w:p>
          <w:p w:rsidR="0089589D" w:rsidRPr="0076262A" w:rsidRDefault="0089589D" w:rsidP="0076262A">
            <w:pPr>
              <w:jc w:val="center"/>
              <w:rPr>
                <w:rFonts w:eastAsia="Arial Unicode MS"/>
                <w:sz w:val="24"/>
                <w:szCs w:val="24"/>
              </w:rPr>
            </w:pPr>
            <w:r w:rsidRPr="0076262A">
              <w:rPr>
                <w:rFonts w:eastAsia="Arial Unicode MS"/>
                <w:sz w:val="24"/>
                <w:szCs w:val="24"/>
              </w:rPr>
              <w:t>Quanto à análise: a amostra poderia ser coletada no usuário final, que faz o abastecimento.</w:t>
            </w:r>
          </w:p>
          <w:p w:rsidR="0089589D" w:rsidRPr="0076262A" w:rsidRDefault="0089589D" w:rsidP="0076262A">
            <w:pPr>
              <w:jc w:val="center"/>
              <w:rPr>
                <w:rFonts w:eastAsia="Arial Unicode MS"/>
                <w:sz w:val="24"/>
                <w:szCs w:val="24"/>
              </w:rPr>
            </w:pPr>
            <w:r w:rsidRPr="0076262A">
              <w:rPr>
                <w:rFonts w:eastAsia="Arial Unicode MS"/>
                <w:sz w:val="24"/>
                <w:szCs w:val="24"/>
              </w:rPr>
              <w:lastRenderedPageBreak/>
              <w:t>Importante: tal sistemática já foi utilizada anteriormente, no teste de B25 em locomotivas, realizado pela Vale.</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89589D" w:rsidRPr="0076262A" w:rsidRDefault="0089589D" w:rsidP="0076262A">
            <w:pPr>
              <w:spacing w:before="120" w:after="120"/>
              <w:jc w:val="center"/>
              <w:rPr>
                <w:rFonts w:eastAsia="Arial Unicode MS"/>
                <w:bCs/>
                <w:sz w:val="24"/>
                <w:szCs w:val="24"/>
              </w:rPr>
            </w:pPr>
            <w:r w:rsidRPr="0076262A">
              <w:rPr>
                <w:rFonts w:eastAsia="Arial Unicode MS"/>
                <w:bCs/>
                <w:sz w:val="24"/>
                <w:szCs w:val="24"/>
              </w:rPr>
              <w:lastRenderedPageBreak/>
              <w:t>APROBIO</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b/>
                <w:bCs/>
                <w:sz w:val="24"/>
                <w:szCs w:val="24"/>
              </w:rPr>
            </w:pPr>
            <w:r w:rsidRPr="0076262A">
              <w:rPr>
                <w:rFonts w:eastAsia="Arial Unicode MS"/>
                <w:b/>
                <w:bCs/>
                <w:sz w:val="24"/>
                <w:szCs w:val="24"/>
              </w:rPr>
              <w:t>Art.5º §1º, III</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rFonts w:eastAsia="Arial Unicode MS"/>
                <w:sz w:val="24"/>
                <w:szCs w:val="24"/>
              </w:rPr>
              <w:t>Alterar a redação para:</w:t>
            </w:r>
          </w:p>
          <w:p w:rsidR="0089589D" w:rsidRPr="0076262A" w:rsidRDefault="0089589D" w:rsidP="0076262A">
            <w:pPr>
              <w:jc w:val="center"/>
              <w:rPr>
                <w:rFonts w:eastAsia="Arial Unicode MS"/>
                <w:sz w:val="24"/>
                <w:szCs w:val="24"/>
              </w:rPr>
            </w:pPr>
            <w:r w:rsidRPr="0076262A">
              <w:rPr>
                <w:rFonts w:eastAsia="Arial Unicode MS"/>
                <w:sz w:val="24"/>
                <w:szCs w:val="24"/>
              </w:rPr>
              <w:t>Identificação do</w:t>
            </w:r>
            <w:r w:rsidRPr="0076262A">
              <w:rPr>
                <w:rFonts w:eastAsia="Arial Unicode MS"/>
                <w:b/>
                <w:sz w:val="24"/>
                <w:szCs w:val="24"/>
              </w:rPr>
              <w:t>(s)</w:t>
            </w:r>
            <w:r w:rsidRPr="0076262A">
              <w:rPr>
                <w:rFonts w:eastAsia="Arial Unicode MS"/>
                <w:sz w:val="24"/>
                <w:szCs w:val="24"/>
              </w:rPr>
              <w:t xml:space="preserve"> tanque</w:t>
            </w:r>
            <w:r w:rsidRPr="0076262A">
              <w:rPr>
                <w:rFonts w:eastAsia="Arial Unicode MS"/>
                <w:b/>
                <w:sz w:val="24"/>
                <w:szCs w:val="24"/>
              </w:rPr>
              <w:t>(s)</w:t>
            </w:r>
            <w:r w:rsidRPr="0076262A">
              <w:rPr>
                <w:rFonts w:eastAsia="Arial Unicode MS"/>
                <w:sz w:val="24"/>
                <w:szCs w:val="24"/>
              </w:rPr>
              <w:t xml:space="preserve"> de origem.</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rFonts w:eastAsia="Arial Unicode MS"/>
                <w:sz w:val="24"/>
                <w:szCs w:val="24"/>
              </w:rPr>
              <w:t xml:space="preserve">Normalmente as distribuidoras realizam a mistura no momento de carregamento do caminhão. Neste caso, se faz necessária a indicação de 2 tanques de origem e </w:t>
            </w:r>
            <w:proofErr w:type="gramStart"/>
            <w:r w:rsidRPr="0076262A">
              <w:rPr>
                <w:rFonts w:eastAsia="Arial Unicode MS"/>
                <w:sz w:val="24"/>
                <w:szCs w:val="24"/>
              </w:rPr>
              <w:t>do(</w:t>
            </w:r>
            <w:proofErr w:type="gramEnd"/>
            <w:r w:rsidRPr="0076262A">
              <w:rPr>
                <w:rFonts w:eastAsia="Arial Unicode MS"/>
                <w:sz w:val="24"/>
                <w:szCs w:val="24"/>
              </w:rPr>
              <w:t>s) instrumento(s) de medição volumétrica.</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89589D" w:rsidRPr="0076262A" w:rsidRDefault="0089589D" w:rsidP="0076262A">
            <w:pPr>
              <w:spacing w:before="120" w:after="120"/>
              <w:jc w:val="center"/>
              <w:rPr>
                <w:rFonts w:eastAsia="Arial Unicode MS"/>
                <w:bCs/>
                <w:sz w:val="24"/>
                <w:szCs w:val="24"/>
              </w:rPr>
            </w:pPr>
            <w:r w:rsidRPr="0076262A">
              <w:rPr>
                <w:rFonts w:eastAsia="Arial Unicode MS"/>
                <w:bCs/>
                <w:sz w:val="24"/>
                <w:szCs w:val="24"/>
              </w:rPr>
              <w:t>APROBIO</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b/>
                <w:bCs/>
                <w:sz w:val="24"/>
                <w:szCs w:val="24"/>
              </w:rPr>
            </w:pPr>
            <w:r w:rsidRPr="0076262A">
              <w:rPr>
                <w:rFonts w:eastAsia="Arial Unicode MS"/>
                <w:b/>
                <w:bCs/>
                <w:sz w:val="24"/>
                <w:szCs w:val="24"/>
              </w:rPr>
              <w:t>Art.5º §4º</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rFonts w:eastAsia="Arial Unicode MS"/>
                <w:sz w:val="24"/>
                <w:szCs w:val="24"/>
              </w:rPr>
              <w:t>Alterar o texto do § 4º:</w:t>
            </w:r>
          </w:p>
          <w:p w:rsidR="0089589D" w:rsidRPr="0076262A" w:rsidRDefault="0089589D" w:rsidP="0076262A">
            <w:pPr>
              <w:jc w:val="center"/>
              <w:rPr>
                <w:rFonts w:eastAsia="Arial Unicode MS"/>
                <w:sz w:val="24"/>
                <w:szCs w:val="24"/>
              </w:rPr>
            </w:pPr>
            <w:r w:rsidRPr="0076262A">
              <w:rPr>
                <w:rFonts w:eastAsia="Arial Unicode MS"/>
                <w:sz w:val="24"/>
                <w:szCs w:val="24"/>
              </w:rPr>
              <w:t xml:space="preserve">“Adicionalmente ao Boletim de Conformidade, o Distribuidor de Combustíveis Líquidos deverá analisar, pelo menos uma vez por mês, a estabilidade à oxidação de uma amostra </w:t>
            </w:r>
            <w:r w:rsidRPr="0076262A">
              <w:rPr>
                <w:rFonts w:eastAsia="Arial Unicode MS"/>
                <w:strike/>
                <w:sz w:val="24"/>
                <w:szCs w:val="24"/>
              </w:rPr>
              <w:t xml:space="preserve">representativa </w:t>
            </w:r>
            <w:r w:rsidRPr="0076262A">
              <w:rPr>
                <w:rFonts w:eastAsia="Arial Unicode MS"/>
                <w:sz w:val="24"/>
                <w:szCs w:val="24"/>
              </w:rPr>
              <w:t xml:space="preserve">de óleo diesel B8 a B30 </w:t>
            </w:r>
            <w:r w:rsidRPr="0076262A">
              <w:rPr>
                <w:rFonts w:eastAsia="Arial Unicode MS"/>
                <w:strike/>
                <w:sz w:val="24"/>
                <w:szCs w:val="24"/>
              </w:rPr>
              <w:t>a ser comercializada</w:t>
            </w:r>
            <w:r w:rsidRPr="0076262A">
              <w:rPr>
                <w:rFonts w:eastAsia="Arial Unicode MS"/>
                <w:sz w:val="24"/>
                <w:szCs w:val="24"/>
              </w:rPr>
              <w:t xml:space="preserve"> e enviar à ANP os resultados até o 15º (décimo quinto) dia do mês subsequente àquele a que se referirem os dados, de acordo com as instruções constantes no site da ANP.”</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jc w:val="center"/>
              <w:rPr>
                <w:rFonts w:eastAsia="Arial Unicode MS"/>
                <w:sz w:val="24"/>
                <w:szCs w:val="24"/>
              </w:rPr>
            </w:pPr>
            <w:r w:rsidRPr="0076262A">
              <w:rPr>
                <w:rFonts w:eastAsia="Arial Unicode MS"/>
                <w:sz w:val="24"/>
                <w:szCs w:val="24"/>
              </w:rPr>
              <w:t>O resultado dos ensaios podem se alterar ao longo do tempo, especialmente a umidade. Assim, recomenda-se que a análise seja realizada em uma amostra de um determinado embarque realizado no mês.</w:t>
            </w:r>
          </w:p>
          <w:p w:rsidR="0089589D" w:rsidRPr="0076262A" w:rsidRDefault="0089589D" w:rsidP="0076262A">
            <w:pPr>
              <w:jc w:val="center"/>
              <w:rPr>
                <w:rFonts w:eastAsia="Arial Unicode MS"/>
                <w:sz w:val="24"/>
                <w:szCs w:val="24"/>
              </w:rPr>
            </w:pPr>
            <w:r w:rsidRPr="0076262A">
              <w:rPr>
                <w:rFonts w:eastAsia="Arial Unicode MS"/>
                <w:sz w:val="24"/>
                <w:szCs w:val="24"/>
              </w:rPr>
              <w:t>Como as misturas são realizadas no momento do embarque para o despacho, não é prática comum das distribuidoras a manutenção de um tanque da mistura final, motivo pelo qual foi sugerida a exclusão do termo “a ser comercializada”.</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416498" w:rsidRPr="0076262A" w:rsidRDefault="00FE3463" w:rsidP="0076262A">
            <w:pPr>
              <w:spacing w:before="120" w:after="120"/>
              <w:jc w:val="center"/>
              <w:rPr>
                <w:rFonts w:eastAsia="Arial Unicode MS"/>
                <w:bCs/>
                <w:sz w:val="24"/>
                <w:szCs w:val="24"/>
              </w:rPr>
            </w:pPr>
            <w:r w:rsidRPr="0076262A">
              <w:rPr>
                <w:rFonts w:eastAsia="Arial Unicode MS"/>
                <w:bCs/>
                <w:sz w:val="24"/>
                <w:szCs w:val="24"/>
              </w:rPr>
              <w:t>Petrobras</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Art. 5º,</w:t>
            </w:r>
          </w:p>
          <w:p w:rsidR="00416498" w:rsidRPr="0076262A" w:rsidRDefault="0089589D" w:rsidP="0076262A">
            <w:pPr>
              <w:autoSpaceDE w:val="0"/>
              <w:autoSpaceDN w:val="0"/>
              <w:adjustRightInd w:val="0"/>
              <w:jc w:val="center"/>
              <w:rPr>
                <w:rFonts w:eastAsiaTheme="minorHAnsi"/>
                <w:color w:val="000000"/>
                <w:sz w:val="24"/>
                <w:szCs w:val="24"/>
                <w:lang w:eastAsia="en-US"/>
              </w:rPr>
            </w:pPr>
            <w:r w:rsidRPr="0076262A">
              <w:rPr>
                <w:rFonts w:eastAsiaTheme="minorHAnsi"/>
                <w:sz w:val="24"/>
                <w:szCs w:val="24"/>
                <w:lang w:eastAsia="en-US"/>
              </w:rPr>
              <w:t>§ 1º, I</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Incluir no boletim de conformidade o resultado da seguinte</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análise</w:t>
            </w:r>
            <w:proofErr w:type="gramEnd"/>
            <w:r w:rsidRPr="0076262A">
              <w:rPr>
                <w:rFonts w:eastAsiaTheme="minorHAnsi"/>
                <w:sz w:val="24"/>
                <w:szCs w:val="24"/>
                <w:lang w:eastAsia="en-US"/>
              </w:rPr>
              <w:t>:</w:t>
            </w:r>
          </w:p>
          <w:p w:rsidR="00416498"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 Teor de biodiesel</w:t>
            </w:r>
          </w:p>
          <w:p w:rsidR="0089589D" w:rsidRPr="0076262A" w:rsidRDefault="0089589D" w:rsidP="0076262A">
            <w:pPr>
              <w:autoSpaceDE w:val="0"/>
              <w:autoSpaceDN w:val="0"/>
              <w:adjustRightInd w:val="0"/>
              <w:jc w:val="center"/>
              <w:rPr>
                <w:rFonts w:eastAsiaTheme="minorHAnsi"/>
                <w:color w:val="000000"/>
                <w:sz w:val="24"/>
                <w:szCs w:val="24"/>
                <w:lang w:eastAsia="en-US"/>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Diferentemente do óleo diesel B7, que possui um</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teor</w:t>
            </w:r>
            <w:proofErr w:type="gramEnd"/>
            <w:r w:rsidRPr="0076262A">
              <w:rPr>
                <w:rFonts w:eastAsiaTheme="minorHAnsi"/>
                <w:sz w:val="24"/>
                <w:szCs w:val="24"/>
                <w:lang w:eastAsia="en-US"/>
              </w:rPr>
              <w:t xml:space="preserve"> de biodiesel fixado por lei, as misturas com</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percentuais</w:t>
            </w:r>
            <w:proofErr w:type="gramEnd"/>
            <w:r w:rsidRPr="0076262A">
              <w:rPr>
                <w:rFonts w:eastAsiaTheme="minorHAnsi"/>
                <w:sz w:val="24"/>
                <w:szCs w:val="24"/>
                <w:lang w:eastAsia="en-US"/>
              </w:rPr>
              <w:t xml:space="preserve"> de biodiesel superiores podem</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apresentar</w:t>
            </w:r>
            <w:proofErr w:type="gramEnd"/>
            <w:r w:rsidRPr="0076262A">
              <w:rPr>
                <w:rFonts w:eastAsiaTheme="minorHAnsi"/>
                <w:sz w:val="24"/>
                <w:szCs w:val="24"/>
                <w:lang w:eastAsia="en-US"/>
              </w:rPr>
              <w:t xml:space="preserve"> diferentes percentuais dentro da</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ampla</w:t>
            </w:r>
            <w:proofErr w:type="gramEnd"/>
            <w:r w:rsidRPr="0076262A">
              <w:rPr>
                <w:rFonts w:eastAsiaTheme="minorHAnsi"/>
                <w:sz w:val="24"/>
                <w:szCs w:val="24"/>
                <w:lang w:eastAsia="en-US"/>
              </w:rPr>
              <w:t xml:space="preserve"> faixa de B8 a B30. A inclusão desse</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resultado</w:t>
            </w:r>
            <w:proofErr w:type="gramEnd"/>
            <w:r w:rsidRPr="0076262A">
              <w:rPr>
                <w:rFonts w:eastAsiaTheme="minorHAnsi"/>
                <w:sz w:val="24"/>
                <w:szCs w:val="24"/>
                <w:lang w:eastAsia="en-US"/>
              </w:rPr>
              <w:t xml:space="preserve"> permite a obtenção do valor preciso de</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biodiesel</w:t>
            </w:r>
            <w:proofErr w:type="gramEnd"/>
            <w:r w:rsidRPr="0076262A">
              <w:rPr>
                <w:rFonts w:eastAsiaTheme="minorHAnsi"/>
                <w:sz w:val="24"/>
                <w:szCs w:val="24"/>
                <w:lang w:eastAsia="en-US"/>
              </w:rPr>
              <w:t xml:space="preserve"> utilizado em cada caso, frente ao erro</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naturalmente</w:t>
            </w:r>
            <w:proofErr w:type="gramEnd"/>
            <w:r w:rsidRPr="0076262A">
              <w:rPr>
                <w:rFonts w:eastAsiaTheme="minorHAnsi"/>
                <w:sz w:val="24"/>
                <w:szCs w:val="24"/>
                <w:lang w:eastAsia="en-US"/>
              </w:rPr>
              <w:t xml:space="preserve"> associado às operações de campo</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e</w:t>
            </w:r>
            <w:proofErr w:type="gramEnd"/>
            <w:r w:rsidRPr="0076262A">
              <w:rPr>
                <w:rFonts w:eastAsiaTheme="minorHAnsi"/>
                <w:sz w:val="24"/>
                <w:szCs w:val="24"/>
                <w:lang w:eastAsia="en-US"/>
              </w:rPr>
              <w:t>, principalmente, de modo a coibir a</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comercialização</w:t>
            </w:r>
            <w:proofErr w:type="gramEnd"/>
            <w:r w:rsidRPr="0076262A">
              <w:rPr>
                <w:rFonts w:eastAsiaTheme="minorHAnsi"/>
                <w:sz w:val="24"/>
                <w:szCs w:val="24"/>
                <w:lang w:eastAsia="en-US"/>
              </w:rPr>
              <w:t xml:space="preserve"> de mistura com percentual de</w:t>
            </w:r>
          </w:p>
          <w:p w:rsidR="00416498" w:rsidRPr="0076262A" w:rsidRDefault="0089589D" w:rsidP="0076262A">
            <w:pPr>
              <w:autoSpaceDE w:val="0"/>
              <w:autoSpaceDN w:val="0"/>
              <w:adjustRightInd w:val="0"/>
              <w:jc w:val="center"/>
              <w:rPr>
                <w:rFonts w:eastAsiaTheme="minorHAnsi"/>
                <w:color w:val="000000"/>
                <w:sz w:val="24"/>
                <w:szCs w:val="24"/>
                <w:lang w:eastAsia="en-US"/>
              </w:rPr>
            </w:pPr>
            <w:proofErr w:type="gramStart"/>
            <w:r w:rsidRPr="0076262A">
              <w:rPr>
                <w:rFonts w:eastAsiaTheme="minorHAnsi"/>
                <w:sz w:val="24"/>
                <w:szCs w:val="24"/>
                <w:lang w:eastAsia="en-US"/>
              </w:rPr>
              <w:t>biodiesel</w:t>
            </w:r>
            <w:proofErr w:type="gramEnd"/>
            <w:r w:rsidRPr="0076262A">
              <w:rPr>
                <w:rFonts w:eastAsiaTheme="minorHAnsi"/>
                <w:sz w:val="24"/>
                <w:szCs w:val="24"/>
                <w:lang w:eastAsia="en-US"/>
              </w:rPr>
              <w:t xml:space="preserve"> diferente do alegado pelo distribuidor.</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687985" w:rsidRPr="0076262A" w:rsidRDefault="00A15AC2" w:rsidP="0076262A">
            <w:pPr>
              <w:spacing w:before="120" w:after="120"/>
              <w:jc w:val="center"/>
              <w:rPr>
                <w:rFonts w:eastAsia="Arial Unicode MS"/>
                <w:bCs/>
                <w:sz w:val="24"/>
                <w:szCs w:val="24"/>
              </w:rPr>
            </w:pPr>
            <w:r w:rsidRPr="0076262A">
              <w:rPr>
                <w:rFonts w:eastAsia="Arial Unicode MS"/>
                <w:bCs/>
                <w:sz w:val="24"/>
                <w:szCs w:val="24"/>
              </w:rPr>
              <w:t>Petrobras</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Art. 5º,</w:t>
            </w:r>
          </w:p>
          <w:p w:rsidR="00687985" w:rsidRPr="0076262A" w:rsidRDefault="0089589D" w:rsidP="0076262A">
            <w:pPr>
              <w:autoSpaceDE w:val="0"/>
              <w:autoSpaceDN w:val="0"/>
              <w:adjustRightInd w:val="0"/>
              <w:jc w:val="center"/>
              <w:rPr>
                <w:rFonts w:eastAsiaTheme="minorHAnsi"/>
                <w:color w:val="000000"/>
                <w:sz w:val="24"/>
                <w:szCs w:val="24"/>
                <w:lang w:eastAsia="en-US"/>
              </w:rPr>
            </w:pPr>
            <w:r w:rsidRPr="0076262A">
              <w:rPr>
                <w:rFonts w:eastAsiaTheme="minorHAnsi"/>
                <w:sz w:val="24"/>
                <w:szCs w:val="24"/>
                <w:lang w:eastAsia="en-US"/>
              </w:rPr>
              <w:t>§ 1º, I</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Incluir no boletim de conformidade os resultados das seguintes</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análises</w:t>
            </w:r>
            <w:proofErr w:type="gramEnd"/>
            <w:r w:rsidRPr="0076262A">
              <w:rPr>
                <w:rFonts w:eastAsiaTheme="minorHAnsi"/>
                <w:sz w:val="24"/>
                <w:szCs w:val="24"/>
                <w:lang w:eastAsia="en-US"/>
              </w:rPr>
              <w:t>:</w:t>
            </w:r>
          </w:p>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 Ponto de entupimento de filtro a frio</w:t>
            </w:r>
          </w:p>
          <w:p w:rsidR="00687985" w:rsidRPr="0076262A" w:rsidRDefault="0089589D" w:rsidP="0076262A">
            <w:pPr>
              <w:autoSpaceDE w:val="0"/>
              <w:autoSpaceDN w:val="0"/>
              <w:adjustRightInd w:val="0"/>
              <w:jc w:val="center"/>
              <w:rPr>
                <w:rFonts w:eastAsiaTheme="minorHAnsi"/>
                <w:color w:val="000000"/>
                <w:sz w:val="24"/>
                <w:szCs w:val="24"/>
                <w:lang w:eastAsia="en-US"/>
              </w:rPr>
            </w:pPr>
            <w:r w:rsidRPr="0076262A">
              <w:rPr>
                <w:rFonts w:eastAsiaTheme="minorHAnsi"/>
                <w:sz w:val="24"/>
                <w:szCs w:val="24"/>
                <w:lang w:eastAsia="en-US"/>
              </w:rPr>
              <w:t>- Estabilidade à oxidação (EN15751 e ASTM D7462)</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A variabilidade do biodiesel e do óleo diesel A,</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assim</w:t>
            </w:r>
            <w:proofErr w:type="gramEnd"/>
            <w:r w:rsidRPr="0076262A">
              <w:rPr>
                <w:rFonts w:eastAsiaTheme="minorHAnsi"/>
                <w:sz w:val="24"/>
                <w:szCs w:val="24"/>
                <w:lang w:eastAsia="en-US"/>
              </w:rPr>
              <w:t xml:space="preserve"> como as possíveis interações </w:t>
            </w:r>
            <w:proofErr w:type="spellStart"/>
            <w:r w:rsidRPr="0076262A">
              <w:rPr>
                <w:rFonts w:eastAsiaTheme="minorHAnsi"/>
                <w:sz w:val="24"/>
                <w:szCs w:val="24"/>
                <w:lang w:eastAsia="en-US"/>
              </w:rPr>
              <w:t>biodieselóleo</w:t>
            </w:r>
            <w:proofErr w:type="spellEnd"/>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diesel</w:t>
            </w:r>
            <w:proofErr w:type="gramEnd"/>
            <w:r w:rsidRPr="0076262A">
              <w:rPr>
                <w:rFonts w:eastAsiaTheme="minorHAnsi"/>
                <w:sz w:val="24"/>
                <w:szCs w:val="24"/>
                <w:lang w:eastAsia="en-US"/>
              </w:rPr>
              <w:t>, consistem de complicadores para a</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previsibilidade</w:t>
            </w:r>
            <w:proofErr w:type="gramEnd"/>
            <w:r w:rsidRPr="0076262A">
              <w:rPr>
                <w:rFonts w:eastAsiaTheme="minorHAnsi"/>
                <w:sz w:val="24"/>
                <w:szCs w:val="24"/>
                <w:lang w:eastAsia="en-US"/>
              </w:rPr>
              <w:t xml:space="preserve"> de características das misturas</w:t>
            </w:r>
          </w:p>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lastRenderedPageBreak/>
              <w:t>BX, o que é ainda mais relevante em se tratando</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de</w:t>
            </w:r>
            <w:proofErr w:type="gramEnd"/>
            <w:r w:rsidRPr="0076262A">
              <w:rPr>
                <w:rFonts w:eastAsiaTheme="minorHAnsi"/>
                <w:sz w:val="24"/>
                <w:szCs w:val="24"/>
                <w:lang w:eastAsia="en-US"/>
              </w:rPr>
              <w:t xml:space="preserve"> misturas com elevados teores de biodiesel. O</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ponto</w:t>
            </w:r>
            <w:proofErr w:type="gramEnd"/>
            <w:r w:rsidRPr="0076262A">
              <w:rPr>
                <w:rFonts w:eastAsiaTheme="minorHAnsi"/>
                <w:sz w:val="24"/>
                <w:szCs w:val="24"/>
                <w:lang w:eastAsia="en-US"/>
              </w:rPr>
              <w:t xml:space="preserve"> de entupimento de filtro a frio e</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estabilidade</w:t>
            </w:r>
            <w:proofErr w:type="gramEnd"/>
            <w:r w:rsidRPr="0076262A">
              <w:rPr>
                <w:rFonts w:eastAsiaTheme="minorHAnsi"/>
                <w:sz w:val="24"/>
                <w:szCs w:val="24"/>
                <w:lang w:eastAsia="en-US"/>
              </w:rPr>
              <w:t xml:space="preserve"> à oxidação são propriedades</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críticas</w:t>
            </w:r>
            <w:proofErr w:type="gramEnd"/>
            <w:r w:rsidRPr="0076262A">
              <w:rPr>
                <w:rFonts w:eastAsiaTheme="minorHAnsi"/>
                <w:sz w:val="24"/>
                <w:szCs w:val="24"/>
                <w:lang w:eastAsia="en-US"/>
              </w:rPr>
              <w:t xml:space="preserve"> para a qualidade do produto e, devido à dificuldade da garantia do atendimento aos</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limites</w:t>
            </w:r>
            <w:proofErr w:type="gramEnd"/>
            <w:r w:rsidRPr="0076262A">
              <w:rPr>
                <w:rFonts w:eastAsiaTheme="minorHAnsi"/>
                <w:sz w:val="24"/>
                <w:szCs w:val="24"/>
                <w:lang w:eastAsia="en-US"/>
              </w:rPr>
              <w:t xml:space="preserve"> estabelecidos para essas propriedades,</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elas</w:t>
            </w:r>
            <w:proofErr w:type="gramEnd"/>
            <w:r w:rsidRPr="0076262A">
              <w:rPr>
                <w:rFonts w:eastAsiaTheme="minorHAnsi"/>
                <w:sz w:val="24"/>
                <w:szCs w:val="24"/>
                <w:lang w:eastAsia="en-US"/>
              </w:rPr>
              <w:t xml:space="preserve"> devem ser determinadas e incluídas como</w:t>
            </w:r>
          </w:p>
          <w:p w:rsidR="00687985" w:rsidRPr="0076262A" w:rsidRDefault="0089589D" w:rsidP="0076262A">
            <w:pPr>
              <w:autoSpaceDE w:val="0"/>
              <w:autoSpaceDN w:val="0"/>
              <w:adjustRightInd w:val="0"/>
              <w:jc w:val="center"/>
              <w:rPr>
                <w:rFonts w:eastAsiaTheme="minorHAnsi"/>
                <w:color w:val="000000"/>
                <w:sz w:val="24"/>
                <w:szCs w:val="24"/>
                <w:lang w:eastAsia="en-US"/>
              </w:rPr>
            </w:pPr>
            <w:proofErr w:type="gramStart"/>
            <w:r w:rsidRPr="0076262A">
              <w:rPr>
                <w:rFonts w:eastAsiaTheme="minorHAnsi"/>
                <w:sz w:val="24"/>
                <w:szCs w:val="24"/>
                <w:lang w:eastAsia="en-US"/>
              </w:rPr>
              <w:t>parte</w:t>
            </w:r>
            <w:proofErr w:type="gramEnd"/>
            <w:r w:rsidRPr="0076262A">
              <w:rPr>
                <w:rFonts w:eastAsiaTheme="minorHAnsi"/>
                <w:sz w:val="24"/>
                <w:szCs w:val="24"/>
                <w:lang w:eastAsia="en-US"/>
              </w:rPr>
              <w:t xml:space="preserve"> do Boletim de Conformidade.</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687985" w:rsidRPr="0076262A" w:rsidRDefault="00A15AC2" w:rsidP="0076262A">
            <w:pPr>
              <w:spacing w:before="120" w:after="120"/>
              <w:jc w:val="center"/>
              <w:rPr>
                <w:rFonts w:eastAsia="Arial Unicode MS"/>
                <w:bCs/>
                <w:sz w:val="24"/>
                <w:szCs w:val="24"/>
              </w:rPr>
            </w:pPr>
            <w:r w:rsidRPr="0076262A">
              <w:rPr>
                <w:rFonts w:eastAsia="Arial Unicode MS"/>
                <w:bCs/>
                <w:sz w:val="24"/>
                <w:szCs w:val="24"/>
              </w:rPr>
              <w:lastRenderedPageBreak/>
              <w:t>Petrobras</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Regulamento</w:t>
            </w:r>
          </w:p>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Técnico,</w:t>
            </w:r>
          </w:p>
          <w:p w:rsidR="00687985" w:rsidRPr="0076262A" w:rsidRDefault="0089589D" w:rsidP="0076262A">
            <w:pPr>
              <w:autoSpaceDE w:val="0"/>
              <w:autoSpaceDN w:val="0"/>
              <w:adjustRightInd w:val="0"/>
              <w:jc w:val="center"/>
              <w:rPr>
                <w:rFonts w:eastAsiaTheme="minorHAnsi"/>
                <w:color w:val="000000"/>
                <w:sz w:val="24"/>
                <w:szCs w:val="24"/>
                <w:lang w:eastAsia="en-US"/>
              </w:rPr>
            </w:pPr>
            <w:r w:rsidRPr="0076262A">
              <w:rPr>
                <w:rFonts w:eastAsiaTheme="minorHAnsi"/>
                <w:sz w:val="24"/>
                <w:szCs w:val="24"/>
                <w:lang w:eastAsia="en-US"/>
              </w:rPr>
              <w:t>Tabela IV</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9589D" w:rsidRPr="0076262A" w:rsidRDefault="0089589D"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Incluir a seguinte metodologia e limite para a propriedade</w:t>
            </w:r>
          </w:p>
          <w:p w:rsidR="0089589D" w:rsidRPr="0076262A" w:rsidRDefault="0089589D"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estabilidade</w:t>
            </w:r>
            <w:proofErr w:type="gramEnd"/>
            <w:r w:rsidRPr="0076262A">
              <w:rPr>
                <w:rFonts w:eastAsiaTheme="minorHAnsi"/>
                <w:sz w:val="24"/>
                <w:szCs w:val="24"/>
                <w:lang w:eastAsia="en-US"/>
              </w:rPr>
              <w:t xml:space="preserve"> à oxidação:</w:t>
            </w:r>
          </w:p>
          <w:p w:rsidR="0089589D" w:rsidRPr="0076262A" w:rsidRDefault="0089589D" w:rsidP="0076262A">
            <w:pPr>
              <w:autoSpaceDE w:val="0"/>
              <w:autoSpaceDN w:val="0"/>
              <w:adjustRightInd w:val="0"/>
              <w:jc w:val="center"/>
              <w:rPr>
                <w:rFonts w:eastAsiaTheme="minorHAnsi"/>
                <w:sz w:val="24"/>
                <w:szCs w:val="24"/>
                <w:lang w:eastAsia="en-US"/>
              </w:rPr>
            </w:pPr>
          </w:p>
          <w:p w:rsidR="00687985" w:rsidRPr="0076262A" w:rsidRDefault="0089589D" w:rsidP="0076262A">
            <w:pPr>
              <w:autoSpaceDE w:val="0"/>
              <w:autoSpaceDN w:val="0"/>
              <w:adjustRightInd w:val="0"/>
              <w:jc w:val="center"/>
              <w:rPr>
                <w:rFonts w:eastAsiaTheme="minorHAnsi"/>
                <w:color w:val="000000"/>
                <w:sz w:val="24"/>
                <w:szCs w:val="24"/>
                <w:lang w:eastAsia="en-US"/>
              </w:rPr>
            </w:pPr>
            <w:r w:rsidRPr="0076262A">
              <w:rPr>
                <w:sz w:val="24"/>
                <w:szCs w:val="24"/>
              </w:rPr>
              <w:object w:dxaOrig="8310" w:dyaOrig="1410">
                <v:shape id="_x0000_i1026" type="#_x0000_t75" style="width:336pt;height:57pt" o:ole="">
                  <v:imagedata r:id="rId8" o:title=""/>
                </v:shape>
                <o:OLEObject Type="Embed" ProgID="PBrush" ShapeID="_x0000_i1026" DrawAspect="Content" ObjectID="_1520841431" r:id="rId9"/>
              </w:objec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A estabilidade à oxidação é uma característica</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de</w:t>
            </w:r>
            <w:proofErr w:type="gramEnd"/>
            <w:r w:rsidRPr="0076262A">
              <w:rPr>
                <w:rFonts w:eastAsiaTheme="minorHAnsi"/>
                <w:sz w:val="24"/>
                <w:szCs w:val="24"/>
                <w:lang w:eastAsia="en-US"/>
              </w:rPr>
              <w:t xml:space="preserve"> grande importância para controle da</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qualidade</w:t>
            </w:r>
            <w:proofErr w:type="gramEnd"/>
            <w:r w:rsidRPr="0076262A">
              <w:rPr>
                <w:rFonts w:eastAsiaTheme="minorHAnsi"/>
                <w:sz w:val="24"/>
                <w:szCs w:val="24"/>
                <w:lang w:eastAsia="en-US"/>
              </w:rPr>
              <w:t xml:space="preserve"> do óleo diesel B. O método ASTM</w:t>
            </w:r>
          </w:p>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D7462 é apropriado tanto para biodiesel (B100 –</w:t>
            </w:r>
          </w:p>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ASTM D6751) quanto para todas as misturas de</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biodiesel</w:t>
            </w:r>
            <w:proofErr w:type="gramEnd"/>
            <w:r w:rsidRPr="0076262A">
              <w:rPr>
                <w:rFonts w:eastAsiaTheme="minorHAnsi"/>
                <w:sz w:val="24"/>
                <w:szCs w:val="24"/>
                <w:lang w:eastAsia="en-US"/>
              </w:rPr>
              <w:t xml:space="preserve"> com destilados médios de petróleo [1],</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sendo</w:t>
            </w:r>
            <w:proofErr w:type="gramEnd"/>
            <w:r w:rsidRPr="0076262A">
              <w:rPr>
                <w:rFonts w:eastAsiaTheme="minorHAnsi"/>
                <w:sz w:val="24"/>
                <w:szCs w:val="24"/>
                <w:lang w:eastAsia="en-US"/>
              </w:rPr>
              <w:t xml:space="preserve"> assim metodologia substituta adequada</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para</w:t>
            </w:r>
            <w:proofErr w:type="gramEnd"/>
            <w:r w:rsidRPr="0076262A">
              <w:rPr>
                <w:rFonts w:eastAsiaTheme="minorHAnsi"/>
                <w:sz w:val="24"/>
                <w:szCs w:val="24"/>
                <w:lang w:eastAsia="en-US"/>
              </w:rPr>
              <w:t xml:space="preserve"> o método ASTM D2274, que era o método</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gravimétrico</w:t>
            </w:r>
            <w:proofErr w:type="gramEnd"/>
            <w:r w:rsidRPr="0076262A">
              <w:rPr>
                <w:rFonts w:eastAsiaTheme="minorHAnsi"/>
                <w:sz w:val="24"/>
                <w:szCs w:val="24"/>
                <w:lang w:eastAsia="en-US"/>
              </w:rPr>
              <w:t xml:space="preserve"> presente na versão anterior da</w:t>
            </w:r>
          </w:p>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Resolução (02/2011).</w:t>
            </w:r>
          </w:p>
          <w:p w:rsidR="00FE3463" w:rsidRPr="0076262A" w:rsidRDefault="00FE3463" w:rsidP="0076262A">
            <w:pPr>
              <w:autoSpaceDE w:val="0"/>
              <w:autoSpaceDN w:val="0"/>
              <w:adjustRightInd w:val="0"/>
              <w:jc w:val="center"/>
              <w:rPr>
                <w:rFonts w:eastAsiaTheme="minorHAnsi"/>
                <w:i/>
                <w:iCs/>
                <w:sz w:val="24"/>
                <w:szCs w:val="24"/>
                <w:lang w:eastAsia="en-US"/>
              </w:rPr>
            </w:pPr>
            <w:r w:rsidRPr="0076262A">
              <w:rPr>
                <w:rFonts w:eastAsiaTheme="minorHAnsi"/>
                <w:sz w:val="24"/>
                <w:szCs w:val="24"/>
                <w:lang w:eastAsia="en-US"/>
              </w:rPr>
              <w:t>[1</w:t>
            </w:r>
            <w:proofErr w:type="gramStart"/>
            <w:r w:rsidRPr="0076262A">
              <w:rPr>
                <w:rFonts w:eastAsiaTheme="minorHAnsi"/>
                <w:sz w:val="24"/>
                <w:szCs w:val="24"/>
                <w:lang w:eastAsia="en-US"/>
              </w:rPr>
              <w:t>].Escopo</w:t>
            </w:r>
            <w:proofErr w:type="gramEnd"/>
            <w:r w:rsidRPr="0076262A">
              <w:rPr>
                <w:rFonts w:eastAsiaTheme="minorHAnsi"/>
                <w:sz w:val="24"/>
                <w:szCs w:val="24"/>
                <w:lang w:eastAsia="en-US"/>
              </w:rPr>
              <w:t xml:space="preserve"> do método ASTM D2274 - </w:t>
            </w:r>
            <w:r w:rsidRPr="0076262A">
              <w:rPr>
                <w:rFonts w:eastAsiaTheme="minorHAnsi"/>
                <w:i/>
                <w:iCs/>
                <w:sz w:val="24"/>
                <w:szCs w:val="24"/>
                <w:lang w:eastAsia="en-US"/>
              </w:rPr>
              <w:t>Standard Test</w:t>
            </w:r>
          </w:p>
          <w:p w:rsidR="00FE3463" w:rsidRPr="0076262A" w:rsidRDefault="00FE3463" w:rsidP="0076262A">
            <w:pPr>
              <w:autoSpaceDE w:val="0"/>
              <w:autoSpaceDN w:val="0"/>
              <w:adjustRightInd w:val="0"/>
              <w:jc w:val="center"/>
              <w:rPr>
                <w:rFonts w:eastAsiaTheme="minorHAnsi"/>
                <w:i/>
                <w:iCs/>
                <w:sz w:val="24"/>
                <w:szCs w:val="24"/>
                <w:lang w:val="en-US" w:eastAsia="en-US"/>
              </w:rPr>
            </w:pPr>
            <w:r w:rsidRPr="0076262A">
              <w:rPr>
                <w:rFonts w:eastAsiaTheme="minorHAnsi"/>
                <w:i/>
                <w:iCs/>
                <w:sz w:val="24"/>
                <w:szCs w:val="24"/>
                <w:lang w:val="en-US" w:eastAsia="en-US"/>
              </w:rPr>
              <w:t>Method for Oxidation Stability of Distillate Fuel Oil</w:t>
            </w:r>
          </w:p>
          <w:p w:rsidR="00687985" w:rsidRPr="0076262A" w:rsidRDefault="00FE3463" w:rsidP="0076262A">
            <w:pPr>
              <w:autoSpaceDE w:val="0"/>
              <w:autoSpaceDN w:val="0"/>
              <w:adjustRightInd w:val="0"/>
              <w:jc w:val="center"/>
              <w:rPr>
                <w:rFonts w:eastAsiaTheme="minorHAnsi"/>
                <w:color w:val="000000"/>
                <w:sz w:val="24"/>
                <w:szCs w:val="24"/>
                <w:lang w:eastAsia="en-US"/>
              </w:rPr>
            </w:pPr>
            <w:r w:rsidRPr="0076262A">
              <w:rPr>
                <w:rFonts w:eastAsiaTheme="minorHAnsi"/>
                <w:i/>
                <w:iCs/>
                <w:sz w:val="24"/>
                <w:szCs w:val="24"/>
                <w:lang w:eastAsia="en-US"/>
              </w:rPr>
              <w:t>(</w:t>
            </w:r>
            <w:proofErr w:type="spellStart"/>
            <w:r w:rsidRPr="0076262A">
              <w:rPr>
                <w:rFonts w:eastAsiaTheme="minorHAnsi"/>
                <w:i/>
                <w:iCs/>
                <w:sz w:val="24"/>
                <w:szCs w:val="24"/>
                <w:lang w:eastAsia="en-US"/>
              </w:rPr>
              <w:t>Accelerated</w:t>
            </w:r>
            <w:proofErr w:type="spellEnd"/>
            <w:r w:rsidRPr="0076262A">
              <w:rPr>
                <w:rFonts w:eastAsiaTheme="minorHAnsi"/>
                <w:i/>
                <w:iCs/>
                <w:sz w:val="24"/>
                <w:szCs w:val="24"/>
                <w:lang w:eastAsia="en-US"/>
              </w:rPr>
              <w:t xml:space="preserve"> </w:t>
            </w:r>
            <w:proofErr w:type="spellStart"/>
            <w:r w:rsidRPr="0076262A">
              <w:rPr>
                <w:rFonts w:eastAsiaTheme="minorHAnsi"/>
                <w:i/>
                <w:iCs/>
                <w:sz w:val="24"/>
                <w:szCs w:val="24"/>
                <w:lang w:eastAsia="en-US"/>
              </w:rPr>
              <w:t>Method</w:t>
            </w:r>
            <w:proofErr w:type="spellEnd"/>
            <w:r w:rsidRPr="0076262A">
              <w:rPr>
                <w:rFonts w:eastAsiaTheme="minorHAnsi"/>
                <w:i/>
                <w:iCs/>
                <w:sz w:val="24"/>
                <w:szCs w:val="24"/>
                <w:lang w:eastAsia="en-US"/>
              </w:rPr>
              <w:t>).</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687985" w:rsidRPr="0076262A" w:rsidRDefault="00A15AC2" w:rsidP="0076262A">
            <w:pPr>
              <w:spacing w:before="120" w:after="120"/>
              <w:jc w:val="center"/>
              <w:rPr>
                <w:rFonts w:eastAsia="Arial Unicode MS"/>
                <w:bCs/>
                <w:sz w:val="24"/>
                <w:szCs w:val="24"/>
              </w:rPr>
            </w:pPr>
            <w:r w:rsidRPr="0076262A">
              <w:rPr>
                <w:rFonts w:eastAsia="Arial Unicode MS"/>
                <w:bCs/>
                <w:sz w:val="24"/>
                <w:szCs w:val="24"/>
              </w:rPr>
              <w:t>Petrobras</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Regulamento</w:t>
            </w:r>
          </w:p>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Técnico,</w:t>
            </w:r>
          </w:p>
          <w:p w:rsidR="00687985" w:rsidRPr="0076262A" w:rsidRDefault="00FE3463" w:rsidP="0076262A">
            <w:pPr>
              <w:pStyle w:val="Default"/>
              <w:jc w:val="center"/>
              <w:rPr>
                <w:rFonts w:ascii="Times New Roman" w:hAnsi="Times New Roman" w:cs="Times New Roman"/>
                <w:bCs/>
              </w:rPr>
            </w:pPr>
            <w:r w:rsidRPr="0076262A">
              <w:rPr>
                <w:rFonts w:ascii="Times New Roman" w:eastAsiaTheme="minorHAnsi" w:hAnsi="Times New Roman" w:cs="Times New Roman"/>
                <w:lang w:eastAsia="en-US"/>
              </w:rPr>
              <w:t>Tabela IV</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687985" w:rsidRPr="0076262A" w:rsidRDefault="00FE3463" w:rsidP="0076262A">
            <w:pPr>
              <w:pStyle w:val="Default"/>
              <w:jc w:val="center"/>
              <w:rPr>
                <w:rFonts w:ascii="Times New Roman" w:hAnsi="Times New Roman" w:cs="Times New Roman"/>
              </w:rPr>
            </w:pPr>
            <w:r w:rsidRPr="0076262A">
              <w:rPr>
                <w:rFonts w:ascii="Times New Roman" w:eastAsiaTheme="minorHAnsi" w:hAnsi="Times New Roman" w:cs="Times New Roman"/>
                <w:lang w:eastAsia="en-US"/>
              </w:rPr>
              <w:t>Retirar característica Aspecto</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A qualidade do produto em relação à água e</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partículas</w:t>
            </w:r>
            <w:proofErr w:type="gramEnd"/>
            <w:r w:rsidRPr="0076262A">
              <w:rPr>
                <w:rFonts w:eastAsiaTheme="minorHAnsi"/>
                <w:sz w:val="24"/>
                <w:szCs w:val="24"/>
                <w:lang w:eastAsia="en-US"/>
              </w:rPr>
              <w:t xml:space="preserve"> sólidas já está garantida pelas</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análises</w:t>
            </w:r>
            <w:proofErr w:type="gramEnd"/>
            <w:r w:rsidRPr="0076262A">
              <w:rPr>
                <w:rFonts w:eastAsiaTheme="minorHAnsi"/>
                <w:sz w:val="24"/>
                <w:szCs w:val="24"/>
                <w:lang w:eastAsia="en-US"/>
              </w:rPr>
              <w:t xml:space="preserve"> de teor de água e contaminação total,</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para</w:t>
            </w:r>
            <w:proofErr w:type="gramEnd"/>
            <w:r w:rsidRPr="0076262A">
              <w:rPr>
                <w:rFonts w:eastAsiaTheme="minorHAnsi"/>
                <w:sz w:val="24"/>
                <w:szCs w:val="24"/>
                <w:lang w:eastAsia="en-US"/>
              </w:rPr>
              <w:t xml:space="preserve"> o óleo diesel S10 e teor de água e agua e</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sedimentos</w:t>
            </w:r>
            <w:proofErr w:type="gramEnd"/>
            <w:r w:rsidRPr="0076262A">
              <w:rPr>
                <w:rFonts w:eastAsiaTheme="minorHAnsi"/>
                <w:sz w:val="24"/>
                <w:szCs w:val="24"/>
                <w:lang w:eastAsia="en-US"/>
              </w:rPr>
              <w:t xml:space="preserve"> para o óleo diesel S500, e teor de</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água</w:t>
            </w:r>
            <w:proofErr w:type="gramEnd"/>
            <w:r w:rsidRPr="0076262A">
              <w:rPr>
                <w:rFonts w:eastAsiaTheme="minorHAnsi"/>
                <w:sz w:val="24"/>
                <w:szCs w:val="24"/>
                <w:lang w:eastAsia="en-US"/>
              </w:rPr>
              <w:t xml:space="preserve"> para o óleo diesel S1800 não rodoviário.</w:t>
            </w:r>
          </w:p>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Esse entendimento está explicitado na</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observação</w:t>
            </w:r>
            <w:proofErr w:type="gramEnd"/>
            <w:r w:rsidRPr="0076262A">
              <w:rPr>
                <w:rFonts w:eastAsiaTheme="minorHAnsi"/>
                <w:sz w:val="24"/>
                <w:szCs w:val="24"/>
                <w:lang w:eastAsia="en-US"/>
              </w:rPr>
              <w:t xml:space="preserve"> [1] do Regulamento Técnico, Tabela</w:t>
            </w:r>
          </w:p>
          <w:p w:rsidR="00687985" w:rsidRPr="0076262A" w:rsidRDefault="00FE3463" w:rsidP="0076262A">
            <w:pPr>
              <w:pStyle w:val="Default"/>
              <w:jc w:val="center"/>
              <w:rPr>
                <w:rFonts w:ascii="Times New Roman" w:hAnsi="Times New Roman" w:cs="Times New Roman"/>
              </w:rPr>
            </w:pPr>
            <w:r w:rsidRPr="0076262A">
              <w:rPr>
                <w:rFonts w:ascii="Times New Roman" w:eastAsiaTheme="minorHAnsi" w:hAnsi="Times New Roman" w:cs="Times New Roman"/>
                <w:lang w:eastAsia="en-US"/>
              </w:rPr>
              <w:t>IV.</w:t>
            </w: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687985" w:rsidRPr="0076262A" w:rsidRDefault="00A15AC2" w:rsidP="0076262A">
            <w:pPr>
              <w:spacing w:before="120" w:after="120"/>
              <w:jc w:val="center"/>
              <w:rPr>
                <w:rFonts w:eastAsia="Arial Unicode MS"/>
                <w:bCs/>
                <w:sz w:val="24"/>
                <w:szCs w:val="24"/>
              </w:rPr>
            </w:pPr>
            <w:r w:rsidRPr="0076262A">
              <w:rPr>
                <w:rFonts w:eastAsia="Arial Unicode MS"/>
                <w:bCs/>
                <w:sz w:val="24"/>
                <w:szCs w:val="24"/>
              </w:rPr>
              <w:lastRenderedPageBreak/>
              <w:t>Petrobras</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Regulamento</w:t>
            </w:r>
          </w:p>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Técnico,</w:t>
            </w:r>
          </w:p>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Tabela IV,</w:t>
            </w:r>
          </w:p>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Observações da</w:t>
            </w:r>
          </w:p>
          <w:p w:rsidR="00687985" w:rsidRPr="0076262A" w:rsidRDefault="00FE3463" w:rsidP="0076262A">
            <w:pPr>
              <w:pStyle w:val="Default"/>
              <w:jc w:val="center"/>
              <w:rPr>
                <w:rFonts w:ascii="Times New Roman" w:hAnsi="Times New Roman" w:cs="Times New Roman"/>
                <w:bCs/>
              </w:rPr>
            </w:pPr>
            <w:proofErr w:type="gramStart"/>
            <w:r w:rsidRPr="0076262A">
              <w:rPr>
                <w:rFonts w:ascii="Times New Roman" w:eastAsiaTheme="minorHAnsi" w:hAnsi="Times New Roman" w:cs="Times New Roman"/>
                <w:lang w:eastAsia="en-US"/>
              </w:rPr>
              <w:t>tabela</w:t>
            </w:r>
            <w:proofErr w:type="gramEnd"/>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Retirar observações [1] e [2] relacionadas ao item “Aspecto” da</w:t>
            </w:r>
          </w:p>
          <w:p w:rsidR="00687985" w:rsidRPr="0076262A" w:rsidRDefault="00FE3463" w:rsidP="0076262A">
            <w:pPr>
              <w:pStyle w:val="Default"/>
              <w:jc w:val="center"/>
              <w:rPr>
                <w:rFonts w:ascii="Times New Roman" w:hAnsi="Times New Roman" w:cs="Times New Roman"/>
              </w:rPr>
            </w:pPr>
            <w:r w:rsidRPr="0076262A">
              <w:rPr>
                <w:rFonts w:ascii="Times New Roman" w:eastAsiaTheme="minorHAnsi" w:hAnsi="Times New Roman" w:cs="Times New Roman"/>
                <w:lang w:eastAsia="en-US"/>
              </w:rPr>
              <w:t>Tabela IV</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687985" w:rsidRPr="0076262A" w:rsidRDefault="00687985" w:rsidP="0076262A">
            <w:pPr>
              <w:pStyle w:val="Default"/>
              <w:jc w:val="center"/>
              <w:rPr>
                <w:rFonts w:ascii="Times New Roman" w:hAnsi="Times New Roman" w:cs="Times New Roman"/>
              </w:rPr>
            </w:pPr>
          </w:p>
        </w:tc>
      </w:tr>
      <w:tr w:rsidR="00FE3463"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687985" w:rsidRPr="0076262A" w:rsidRDefault="00A15AC2" w:rsidP="0076262A">
            <w:pPr>
              <w:spacing w:before="120" w:after="120"/>
              <w:jc w:val="center"/>
              <w:rPr>
                <w:rFonts w:eastAsia="Arial Unicode MS"/>
                <w:bCs/>
                <w:sz w:val="24"/>
                <w:szCs w:val="24"/>
              </w:rPr>
            </w:pPr>
            <w:r w:rsidRPr="0076262A">
              <w:rPr>
                <w:rFonts w:eastAsia="Arial Unicode MS"/>
                <w:bCs/>
                <w:sz w:val="24"/>
                <w:szCs w:val="24"/>
              </w:rPr>
              <w:t>Petrobras</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Regulamento</w:t>
            </w:r>
          </w:p>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Técnico,</w:t>
            </w:r>
          </w:p>
          <w:p w:rsidR="00687985" w:rsidRPr="0076262A" w:rsidRDefault="00FE3463" w:rsidP="0076262A">
            <w:pPr>
              <w:pStyle w:val="Default"/>
              <w:jc w:val="center"/>
              <w:rPr>
                <w:rFonts w:ascii="Times New Roman" w:hAnsi="Times New Roman" w:cs="Times New Roman"/>
                <w:bCs/>
              </w:rPr>
            </w:pPr>
            <w:r w:rsidRPr="0076262A">
              <w:rPr>
                <w:rFonts w:ascii="Times New Roman" w:eastAsiaTheme="minorHAnsi" w:hAnsi="Times New Roman" w:cs="Times New Roman"/>
                <w:lang w:eastAsia="en-US"/>
              </w:rPr>
              <w:t>Tabela IV</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687985" w:rsidRPr="0076262A" w:rsidRDefault="00FE3463" w:rsidP="0076262A">
            <w:pPr>
              <w:pStyle w:val="Default"/>
              <w:jc w:val="center"/>
              <w:rPr>
                <w:rFonts w:ascii="Times New Roman" w:hAnsi="Times New Roman" w:cs="Times New Roman"/>
              </w:rPr>
            </w:pPr>
            <w:r w:rsidRPr="0076262A">
              <w:rPr>
                <w:rFonts w:ascii="Times New Roman" w:eastAsiaTheme="minorHAnsi" w:hAnsi="Times New Roman" w:cs="Times New Roman"/>
                <w:lang w:eastAsia="en-US"/>
              </w:rPr>
              <w:t>Inserir observação relacionada ao item “Destilação”</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FE3463" w:rsidRPr="0076262A" w:rsidRDefault="00FE3463" w:rsidP="0076262A">
            <w:pPr>
              <w:autoSpaceDE w:val="0"/>
              <w:autoSpaceDN w:val="0"/>
              <w:adjustRightInd w:val="0"/>
              <w:jc w:val="center"/>
              <w:rPr>
                <w:rFonts w:eastAsiaTheme="minorHAnsi"/>
                <w:sz w:val="24"/>
                <w:szCs w:val="24"/>
                <w:lang w:eastAsia="en-US"/>
              </w:rPr>
            </w:pPr>
            <w:r w:rsidRPr="0076262A">
              <w:rPr>
                <w:rFonts w:eastAsiaTheme="minorHAnsi"/>
                <w:sz w:val="24"/>
                <w:szCs w:val="24"/>
                <w:lang w:eastAsia="en-US"/>
              </w:rPr>
              <w:t>Os resultados obtidos através dos métodos de</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ensaio</w:t>
            </w:r>
            <w:proofErr w:type="gramEnd"/>
            <w:r w:rsidRPr="0076262A">
              <w:rPr>
                <w:rFonts w:eastAsiaTheme="minorHAnsi"/>
                <w:sz w:val="24"/>
                <w:szCs w:val="24"/>
                <w:lang w:eastAsia="en-US"/>
              </w:rPr>
              <w:t xml:space="preserve"> ASTM D86 e ASTM D1160 não são</w:t>
            </w:r>
          </w:p>
          <w:p w:rsidR="00FE3463" w:rsidRPr="0076262A" w:rsidRDefault="00FE3463" w:rsidP="0076262A">
            <w:pPr>
              <w:autoSpaceDE w:val="0"/>
              <w:autoSpaceDN w:val="0"/>
              <w:adjustRightInd w:val="0"/>
              <w:jc w:val="center"/>
              <w:rPr>
                <w:rFonts w:eastAsiaTheme="minorHAnsi"/>
                <w:sz w:val="24"/>
                <w:szCs w:val="24"/>
                <w:lang w:eastAsia="en-US"/>
              </w:rPr>
            </w:pPr>
            <w:proofErr w:type="gramStart"/>
            <w:r w:rsidRPr="0076262A">
              <w:rPr>
                <w:rFonts w:eastAsiaTheme="minorHAnsi"/>
                <w:sz w:val="24"/>
                <w:szCs w:val="24"/>
                <w:lang w:eastAsia="en-US"/>
              </w:rPr>
              <w:t>equivalentes</w:t>
            </w:r>
            <w:proofErr w:type="gramEnd"/>
            <w:r w:rsidRPr="0076262A">
              <w:rPr>
                <w:rFonts w:eastAsiaTheme="minorHAnsi"/>
                <w:sz w:val="24"/>
                <w:szCs w:val="24"/>
                <w:lang w:eastAsia="en-US"/>
              </w:rPr>
              <w:t>, podendo não atender os objetivos do</w:t>
            </w:r>
          </w:p>
          <w:p w:rsidR="00687985" w:rsidRPr="0076262A" w:rsidRDefault="00FE3463" w:rsidP="0076262A">
            <w:pPr>
              <w:pStyle w:val="Default"/>
              <w:jc w:val="center"/>
              <w:rPr>
                <w:rFonts w:ascii="Times New Roman" w:hAnsi="Times New Roman" w:cs="Times New Roman"/>
              </w:rPr>
            </w:pPr>
            <w:r w:rsidRPr="0076262A">
              <w:rPr>
                <w:rFonts w:ascii="Times New Roman" w:eastAsiaTheme="minorHAnsi" w:hAnsi="Times New Roman" w:cs="Times New Roman"/>
                <w:lang w:eastAsia="en-US"/>
              </w:rPr>
              <w:t>Item 4.3.6 da Nota Técnica no: 185/2015/SBQ/RJ</w:t>
            </w:r>
          </w:p>
        </w:tc>
      </w:tr>
      <w:tr w:rsidR="00A15AC2"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A15AC2" w:rsidRPr="0076262A" w:rsidRDefault="00A15AC2" w:rsidP="0076262A">
            <w:pPr>
              <w:spacing w:before="120" w:after="120"/>
              <w:jc w:val="center"/>
              <w:rPr>
                <w:rFonts w:eastAsia="Arial Unicode MS"/>
                <w:bCs/>
                <w:sz w:val="24"/>
                <w:szCs w:val="24"/>
              </w:rPr>
            </w:pPr>
            <w:r w:rsidRPr="0076262A">
              <w:rPr>
                <w:rFonts w:eastAsia="Arial Unicode MS"/>
                <w:bCs/>
                <w:sz w:val="24"/>
                <w:szCs w:val="24"/>
              </w:rPr>
              <w:t>Anfavea</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p>
          <w:p w:rsidR="00A15AC2" w:rsidRPr="0076262A" w:rsidRDefault="00A15AC2" w:rsidP="0076262A">
            <w:pPr>
              <w:jc w:val="center"/>
              <w:rPr>
                <w:sz w:val="24"/>
                <w:szCs w:val="24"/>
              </w:rPr>
            </w:pPr>
            <w:r w:rsidRPr="0076262A">
              <w:rPr>
                <w:sz w:val="24"/>
                <w:szCs w:val="24"/>
              </w:rPr>
              <w:t>Art. 5°, § 1º</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Acrescentar como análise obrigatória no boletim de conformidade o teor de biodiesel e o Ponto de Entupimento de Filtro a Frio</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Verificar se o teor mencionado de biodiesel realmente é o que consta na amostra e para garantir a qualidade do combustível quando exposto de temperaturas frias</w:t>
            </w:r>
          </w:p>
        </w:tc>
      </w:tr>
      <w:tr w:rsidR="00A15AC2"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A15AC2" w:rsidRPr="0076262A" w:rsidRDefault="00A15AC2" w:rsidP="0076262A">
            <w:pPr>
              <w:spacing w:before="120" w:after="120"/>
              <w:jc w:val="center"/>
              <w:rPr>
                <w:rFonts w:eastAsia="Arial Unicode MS"/>
                <w:bCs/>
                <w:sz w:val="24"/>
                <w:szCs w:val="24"/>
              </w:rPr>
            </w:pPr>
            <w:r w:rsidRPr="0076262A">
              <w:rPr>
                <w:rFonts w:eastAsia="Arial Unicode MS"/>
                <w:bCs/>
                <w:sz w:val="24"/>
                <w:szCs w:val="24"/>
              </w:rPr>
              <w:t>Anfavea</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Tabela IV – Condutividade elétrica</w:t>
            </w:r>
          </w:p>
          <w:p w:rsidR="00A15AC2" w:rsidRPr="0076262A" w:rsidRDefault="00A15AC2" w:rsidP="0076262A">
            <w:pPr>
              <w:jc w:val="center"/>
              <w:rPr>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Colocar um limite mínimo obrigatório para misturas usando o S1800</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Questão de segurança</w:t>
            </w:r>
          </w:p>
        </w:tc>
      </w:tr>
      <w:tr w:rsidR="00A15AC2"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A15AC2" w:rsidRPr="0076262A" w:rsidRDefault="00A15AC2" w:rsidP="0076262A">
            <w:pPr>
              <w:spacing w:before="120" w:after="120"/>
              <w:jc w:val="center"/>
              <w:rPr>
                <w:rFonts w:eastAsia="Arial Unicode MS"/>
                <w:bCs/>
                <w:sz w:val="24"/>
                <w:szCs w:val="24"/>
              </w:rPr>
            </w:pPr>
            <w:r w:rsidRPr="0076262A">
              <w:rPr>
                <w:rFonts w:eastAsia="Arial Unicode MS"/>
                <w:bCs/>
                <w:sz w:val="24"/>
                <w:szCs w:val="24"/>
              </w:rPr>
              <w:t>Anfavea</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Tabela IV – Ponto de Fulgor</w:t>
            </w:r>
          </w:p>
          <w:p w:rsidR="00A15AC2" w:rsidRPr="0076262A" w:rsidRDefault="00A15AC2" w:rsidP="0076262A">
            <w:pPr>
              <w:jc w:val="center"/>
              <w:rPr>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Colocar como limite mínimo obrigatório a temperatura de 55°C</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 xml:space="preserve">Questão de segurança ligadas a </w:t>
            </w:r>
            <w:proofErr w:type="spellStart"/>
            <w:r w:rsidRPr="0076262A">
              <w:rPr>
                <w:sz w:val="24"/>
                <w:szCs w:val="24"/>
              </w:rPr>
              <w:t>inflamabilidade</w:t>
            </w:r>
            <w:proofErr w:type="spellEnd"/>
          </w:p>
        </w:tc>
      </w:tr>
      <w:tr w:rsidR="00A15AC2"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A15AC2" w:rsidRPr="0076262A" w:rsidRDefault="00A15AC2" w:rsidP="0076262A">
            <w:pPr>
              <w:spacing w:before="120" w:after="120"/>
              <w:jc w:val="center"/>
              <w:rPr>
                <w:rFonts w:eastAsia="Arial Unicode MS"/>
                <w:bCs/>
                <w:sz w:val="24"/>
                <w:szCs w:val="24"/>
              </w:rPr>
            </w:pPr>
            <w:r w:rsidRPr="0076262A">
              <w:rPr>
                <w:rFonts w:eastAsia="Arial Unicode MS"/>
                <w:bCs/>
                <w:sz w:val="24"/>
                <w:szCs w:val="24"/>
              </w:rPr>
              <w:t>Anfavea</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Tabela V - Ponto de Entupimento de Filtro a Frio</w:t>
            </w:r>
          </w:p>
          <w:p w:rsidR="00A15AC2" w:rsidRPr="0076262A" w:rsidRDefault="00A15AC2" w:rsidP="0076262A">
            <w:pPr>
              <w:jc w:val="center"/>
              <w:rPr>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Atualizar com informações do B30</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15AC2" w:rsidRPr="0076262A" w:rsidRDefault="00A15AC2" w:rsidP="0076262A">
            <w:pPr>
              <w:jc w:val="center"/>
              <w:rPr>
                <w:sz w:val="24"/>
                <w:szCs w:val="24"/>
              </w:rPr>
            </w:pPr>
            <w:r w:rsidRPr="0076262A">
              <w:rPr>
                <w:sz w:val="24"/>
                <w:szCs w:val="24"/>
              </w:rPr>
              <w:t>Com a adição de biodiesel, há um risco maior de problemas a baixa temperatura</w:t>
            </w:r>
          </w:p>
        </w:tc>
      </w:tr>
      <w:tr w:rsidR="0006620A" w:rsidRPr="001B64E0"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06620A" w:rsidRPr="0076262A" w:rsidRDefault="0006620A" w:rsidP="0076262A">
            <w:pPr>
              <w:spacing w:before="120" w:after="120"/>
              <w:jc w:val="center"/>
              <w:rPr>
                <w:rFonts w:eastAsia="Arial Unicode MS"/>
                <w:bCs/>
                <w:sz w:val="24"/>
                <w:szCs w:val="24"/>
              </w:rPr>
            </w:pPr>
            <w:r w:rsidRPr="0076262A">
              <w:rPr>
                <w:rFonts w:eastAsia="Arial Unicode MS"/>
                <w:bCs/>
                <w:sz w:val="24"/>
                <w:szCs w:val="24"/>
              </w:rPr>
              <w:lastRenderedPageBreak/>
              <w:t>MME</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bCs/>
                <w:color w:val="000000"/>
                <w:sz w:val="24"/>
                <w:szCs w:val="24"/>
              </w:rPr>
            </w:pPr>
            <w:r w:rsidRPr="0076262A">
              <w:rPr>
                <w:bCs/>
                <w:color w:val="000000"/>
                <w:sz w:val="24"/>
                <w:szCs w:val="24"/>
              </w:rPr>
              <w:t>Parágrafo único do art. 4º</w:t>
            </w:r>
          </w:p>
          <w:p w:rsidR="0006620A" w:rsidRPr="0076262A" w:rsidRDefault="0006620A" w:rsidP="0076262A">
            <w:pPr>
              <w:jc w:val="center"/>
              <w:rPr>
                <w:rFonts w:eastAsia="Arial Unicode MS"/>
                <w:bCs/>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sz w:val="24"/>
                <w:szCs w:val="24"/>
              </w:rPr>
            </w:pPr>
            <w:r w:rsidRPr="0076262A">
              <w:rPr>
                <w:sz w:val="24"/>
                <w:szCs w:val="24"/>
              </w:rPr>
              <w:t>§ 1º. A comercialização de biodiesel para fins de uso voluntário</w:t>
            </w:r>
            <w:r w:rsidRPr="0076262A">
              <w:rPr>
                <w:sz w:val="24"/>
                <w:szCs w:val="24"/>
                <w:u w:val="single"/>
              </w:rPr>
              <w:t>, nos termos dos incisos I, II e III do art. 1º da Resolução CNPE nº 03, de 2015</w:t>
            </w:r>
            <w:r w:rsidRPr="0076262A">
              <w:rPr>
                <w:sz w:val="24"/>
                <w:szCs w:val="24"/>
              </w:rPr>
              <w:t xml:space="preserve">, deverá ser contratada por meio dos leilões públicos promovidos pela ANP, conforme diretrizes específicas </w:t>
            </w:r>
            <w:r w:rsidRPr="0076262A">
              <w:rPr>
                <w:sz w:val="24"/>
                <w:szCs w:val="24"/>
                <w:u w:val="single"/>
              </w:rPr>
              <w:t>e observados os percentuais de adição fixados</w:t>
            </w:r>
            <w:r w:rsidRPr="0076262A">
              <w:rPr>
                <w:sz w:val="24"/>
                <w:szCs w:val="24"/>
              </w:rPr>
              <w:t xml:space="preserve"> pelo Ministério de Minas e Energia.</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sz w:val="24"/>
                <w:szCs w:val="24"/>
              </w:rPr>
            </w:pPr>
            <w:r w:rsidRPr="0076262A">
              <w:rPr>
                <w:sz w:val="24"/>
                <w:szCs w:val="24"/>
              </w:rPr>
              <w:t>Melhoria de redação, com o objetivo de deixar claro que:</w:t>
            </w:r>
          </w:p>
          <w:p w:rsidR="0006620A" w:rsidRPr="0076262A" w:rsidRDefault="0006620A" w:rsidP="0076262A">
            <w:pPr>
              <w:jc w:val="center"/>
              <w:rPr>
                <w:sz w:val="24"/>
                <w:szCs w:val="24"/>
              </w:rPr>
            </w:pPr>
          </w:p>
          <w:p w:rsidR="0006620A" w:rsidRPr="0076262A" w:rsidRDefault="0006620A" w:rsidP="0076262A">
            <w:pPr>
              <w:jc w:val="center"/>
              <w:rPr>
                <w:sz w:val="24"/>
                <w:szCs w:val="24"/>
              </w:rPr>
            </w:pPr>
            <w:r w:rsidRPr="0076262A">
              <w:rPr>
                <w:sz w:val="24"/>
                <w:szCs w:val="24"/>
              </w:rPr>
              <w:t>1) a contração por leilão só se aplica às hipóteses dos incisos I, II e III do art. 1º da Resolução CNPE nº 03, de 2015, observadas as diretrizes específicas (para os leilões) definidas pelo MME (as diretrizes têm previsão no caput do art. 4º da Resolução CNPE); e</w:t>
            </w:r>
          </w:p>
          <w:p w:rsidR="0006620A" w:rsidRPr="0076262A" w:rsidRDefault="0006620A" w:rsidP="0076262A">
            <w:pPr>
              <w:jc w:val="center"/>
              <w:rPr>
                <w:sz w:val="24"/>
                <w:szCs w:val="24"/>
              </w:rPr>
            </w:pPr>
          </w:p>
          <w:p w:rsidR="0006620A" w:rsidRPr="0076262A" w:rsidRDefault="0006620A" w:rsidP="0076262A">
            <w:pPr>
              <w:jc w:val="center"/>
              <w:rPr>
                <w:rFonts w:eastAsia="Arial Unicode MS"/>
                <w:sz w:val="24"/>
                <w:szCs w:val="24"/>
              </w:rPr>
            </w:pPr>
            <w:r w:rsidRPr="0076262A">
              <w:rPr>
                <w:sz w:val="24"/>
                <w:szCs w:val="24"/>
              </w:rPr>
              <w:t>2) independentemente da forma de contratação, deverá ser observado os percentuais de misturas definidos pelo MME (isso tem previsão no art. 2º da Resolução CNPE, que é diferente da previsão de estabelecer diretrizes específicas para os leilões). Entendemos ser este um ponto fundamental, pois em nenhum outro lugar da proposta de Resolução ANP encontramos algo específico que limita que percentuais poderão ser utilizados. Sem o devido conhecimento da regulamentação própria do MME, não citada na minuta, é possível a interpretação (errônea) que qualquer percentual entre B8 e B30 poderá ser comercializado. Esse ponto merece ser clarificado no texto da Resolução.</w:t>
            </w:r>
          </w:p>
        </w:tc>
      </w:tr>
      <w:tr w:rsidR="0006620A" w:rsidRPr="00F1009B"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06620A" w:rsidRPr="0076262A" w:rsidRDefault="0006620A" w:rsidP="0076262A">
            <w:pPr>
              <w:spacing w:before="120" w:after="120"/>
              <w:jc w:val="center"/>
              <w:rPr>
                <w:sz w:val="24"/>
                <w:szCs w:val="24"/>
              </w:rPr>
            </w:pPr>
            <w:r w:rsidRPr="0076262A">
              <w:rPr>
                <w:rFonts w:eastAsia="Arial Unicode MS"/>
                <w:bCs/>
                <w:sz w:val="24"/>
                <w:szCs w:val="24"/>
              </w:rPr>
              <w:t>MME</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sz w:val="24"/>
                <w:szCs w:val="24"/>
              </w:rPr>
            </w:pPr>
            <w:r w:rsidRPr="0076262A">
              <w:rPr>
                <w:sz w:val="24"/>
                <w:szCs w:val="24"/>
              </w:rPr>
              <w:t>Incluir § 2º no art. 4º</w:t>
            </w:r>
          </w:p>
          <w:p w:rsidR="0006620A" w:rsidRPr="0076262A" w:rsidRDefault="0006620A" w:rsidP="0076262A">
            <w:pPr>
              <w:jc w:val="center"/>
              <w:rPr>
                <w:rFonts w:eastAsia="Arial Unicode MS"/>
                <w:bCs/>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sz w:val="24"/>
                <w:szCs w:val="24"/>
              </w:rPr>
            </w:pPr>
            <w:r w:rsidRPr="0076262A">
              <w:rPr>
                <w:sz w:val="24"/>
                <w:szCs w:val="24"/>
              </w:rPr>
              <w:t>§ 2º. Nas hipóteses de uso voluntário experimental ou específico, a ANP poderá dispensar caso a caso a contratação por meio dos leilões.</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sz w:val="24"/>
                <w:szCs w:val="24"/>
              </w:rPr>
            </w:pPr>
            <w:r w:rsidRPr="0076262A">
              <w:rPr>
                <w:sz w:val="24"/>
                <w:szCs w:val="24"/>
              </w:rPr>
              <w:t>Necessidade de incluir a hipótese de dispensa de contratação por leilão, já prevista na Resolução CNPE. Da forma original, a proposta de Resolução ANP cerceia ou limita o já disposto na Resolução CNPE. Com isso, cria-se um risco jurídico, desnecessário. Por exemplo, um eventual agente interessado poderá questionar porque a Resolução CNPE lhe atribuiu o direito de comprar por outro mecanismo que não o leilão, enquanto a Resolução ANP só lhe deu a alternativa de comprar por leilão.</w:t>
            </w:r>
          </w:p>
          <w:p w:rsidR="0006620A" w:rsidRPr="0076262A" w:rsidRDefault="0006620A" w:rsidP="0076262A">
            <w:pPr>
              <w:jc w:val="center"/>
              <w:rPr>
                <w:rFonts w:eastAsia="Arial Unicode MS"/>
                <w:sz w:val="24"/>
                <w:szCs w:val="24"/>
              </w:rPr>
            </w:pPr>
          </w:p>
        </w:tc>
      </w:tr>
      <w:tr w:rsidR="0006620A" w:rsidRPr="00F1009B"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06620A" w:rsidRPr="0076262A" w:rsidRDefault="0006620A" w:rsidP="0076262A">
            <w:pPr>
              <w:spacing w:before="120" w:after="120"/>
              <w:jc w:val="center"/>
              <w:rPr>
                <w:sz w:val="24"/>
                <w:szCs w:val="24"/>
              </w:rPr>
            </w:pPr>
            <w:r w:rsidRPr="0076262A">
              <w:rPr>
                <w:rFonts w:eastAsia="Arial Unicode MS"/>
                <w:bCs/>
                <w:sz w:val="24"/>
                <w:szCs w:val="24"/>
              </w:rPr>
              <w:lastRenderedPageBreak/>
              <w:t>MME</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b/>
                <w:bCs/>
                <w:sz w:val="24"/>
                <w:szCs w:val="24"/>
              </w:rPr>
            </w:pPr>
            <w:r w:rsidRPr="0076262A">
              <w:rPr>
                <w:sz w:val="24"/>
                <w:szCs w:val="24"/>
              </w:rPr>
              <w:t xml:space="preserve">§ 4º do </w:t>
            </w:r>
            <w:r w:rsidRPr="0076262A">
              <w:rPr>
                <w:bCs/>
                <w:color w:val="000000"/>
                <w:sz w:val="24"/>
                <w:szCs w:val="24"/>
              </w:rPr>
              <w:t>art. 5º</w:t>
            </w:r>
          </w:p>
          <w:p w:rsidR="0006620A" w:rsidRPr="0076262A" w:rsidRDefault="0006620A" w:rsidP="0076262A">
            <w:pPr>
              <w:jc w:val="center"/>
              <w:rPr>
                <w:rFonts w:eastAsia="Arial Unicode MS"/>
                <w:b/>
                <w:bCs/>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sz w:val="24"/>
                <w:szCs w:val="24"/>
              </w:rPr>
            </w:pPr>
            <w:r w:rsidRPr="0076262A">
              <w:rPr>
                <w:sz w:val="24"/>
                <w:szCs w:val="24"/>
              </w:rPr>
              <w:t xml:space="preserve">§ 4º Adicionalmente ao Boletim de Conformidade, o Distribuidor de Combustíveis Líquidos deverá analisar, pelo menos uma vez por mês, a estabilidade à oxidação de uma amostra representativa </w:t>
            </w:r>
            <w:r w:rsidRPr="0076262A">
              <w:rPr>
                <w:sz w:val="24"/>
                <w:szCs w:val="24"/>
                <w:u w:val="single"/>
              </w:rPr>
              <w:t>do biodiesel puro a ser utilizado para formulação das misturas</w:t>
            </w:r>
            <w:r w:rsidRPr="0076262A">
              <w:rPr>
                <w:sz w:val="24"/>
                <w:szCs w:val="24"/>
              </w:rPr>
              <w:t xml:space="preserve"> B8 a B30 a ser comercializada e enviar à ANP os resultados até o 15º (décimo quinto) dia do mês subsequente àquele a que se referirem os dados, de acordo com as instruções constantes no site da ANP.</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sz w:val="24"/>
                <w:szCs w:val="24"/>
              </w:rPr>
            </w:pPr>
            <w:r w:rsidRPr="0076262A">
              <w:rPr>
                <w:sz w:val="24"/>
                <w:szCs w:val="24"/>
              </w:rPr>
              <w:t>O dispositivo original não parece razoável em relação à prática usual de mercado, que no caso é o armazenamento dos produtos puros, ou seja, biodiesel e diesel em tanques separados. Não haveria, nessa situação, tanques segregados para cada percentual de mistura.</w:t>
            </w:r>
          </w:p>
          <w:p w:rsidR="0006620A" w:rsidRPr="0076262A" w:rsidRDefault="0006620A" w:rsidP="0076262A">
            <w:pPr>
              <w:jc w:val="center"/>
              <w:rPr>
                <w:sz w:val="24"/>
                <w:szCs w:val="24"/>
              </w:rPr>
            </w:pPr>
          </w:p>
          <w:p w:rsidR="0006620A" w:rsidRPr="0076262A" w:rsidRDefault="0006620A" w:rsidP="0076262A">
            <w:pPr>
              <w:jc w:val="center"/>
              <w:rPr>
                <w:sz w:val="24"/>
                <w:szCs w:val="24"/>
              </w:rPr>
            </w:pPr>
            <w:r w:rsidRPr="0076262A">
              <w:rPr>
                <w:sz w:val="24"/>
                <w:szCs w:val="24"/>
              </w:rPr>
              <w:t>Além disso, esse dispositivo original poderia resultar em aumento de custo, que, no nosso entendimento, é desnecessário. Isto porque exige uma análise para cada mistura. Acreditamos que o mesmo resultado pretendido (qualidade do produto) poderá ser alcançado analisando-se apenas o biodiesel puro e/ou o diesel puro, ao invés das diversas misturas. A lógica é que a qualidade da mistura guarda relação direta com a qualidade dos produtos puros que a compõe.</w:t>
            </w:r>
          </w:p>
          <w:p w:rsidR="0006620A" w:rsidRPr="0076262A" w:rsidRDefault="0006620A" w:rsidP="0076262A">
            <w:pPr>
              <w:jc w:val="center"/>
              <w:rPr>
                <w:sz w:val="24"/>
                <w:szCs w:val="24"/>
              </w:rPr>
            </w:pPr>
          </w:p>
          <w:p w:rsidR="0006620A" w:rsidRPr="0076262A" w:rsidRDefault="0006620A" w:rsidP="0076262A">
            <w:pPr>
              <w:jc w:val="center"/>
              <w:rPr>
                <w:rFonts w:eastAsia="Arial Unicode MS"/>
                <w:sz w:val="24"/>
                <w:szCs w:val="24"/>
              </w:rPr>
            </w:pPr>
            <w:r w:rsidRPr="0076262A">
              <w:rPr>
                <w:sz w:val="24"/>
                <w:szCs w:val="24"/>
              </w:rPr>
              <w:t>Por essa razão, sugere-se que a análise da estabilidade seja realizada no biodiesel puro (B100), e não na mistura.</w:t>
            </w:r>
          </w:p>
        </w:tc>
      </w:tr>
      <w:tr w:rsidR="0006620A" w:rsidRPr="00F1009B"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06620A" w:rsidRPr="0076262A" w:rsidRDefault="0006620A" w:rsidP="0076262A">
            <w:pPr>
              <w:spacing w:before="120" w:after="120"/>
              <w:jc w:val="center"/>
              <w:rPr>
                <w:sz w:val="24"/>
                <w:szCs w:val="24"/>
              </w:rPr>
            </w:pPr>
            <w:r w:rsidRPr="0076262A">
              <w:rPr>
                <w:rFonts w:eastAsia="Arial Unicode MS"/>
                <w:bCs/>
                <w:sz w:val="24"/>
                <w:szCs w:val="24"/>
              </w:rPr>
              <w:t>MME</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bCs/>
                <w:sz w:val="24"/>
                <w:szCs w:val="24"/>
              </w:rPr>
            </w:pPr>
          </w:p>
          <w:p w:rsidR="0006620A" w:rsidRPr="0076262A" w:rsidRDefault="0006620A" w:rsidP="0076262A">
            <w:pPr>
              <w:jc w:val="center"/>
              <w:rPr>
                <w:rFonts w:eastAsia="Arial Unicode MS"/>
                <w:bCs/>
                <w:sz w:val="24"/>
                <w:szCs w:val="24"/>
              </w:rPr>
            </w:pPr>
            <w:r w:rsidRPr="0076262A">
              <w:rPr>
                <w:sz w:val="24"/>
                <w:szCs w:val="24"/>
              </w:rPr>
              <w:t xml:space="preserve">§ 5º do </w:t>
            </w:r>
            <w:r w:rsidRPr="0076262A">
              <w:rPr>
                <w:bCs/>
                <w:color w:val="000000"/>
                <w:sz w:val="24"/>
                <w:szCs w:val="24"/>
              </w:rPr>
              <w:t>art. 5º</w:t>
            </w:r>
          </w:p>
          <w:p w:rsidR="0006620A" w:rsidRPr="0076262A" w:rsidRDefault="0006620A" w:rsidP="0076262A">
            <w:pPr>
              <w:jc w:val="center"/>
              <w:rPr>
                <w:rFonts w:eastAsia="Arial Unicode MS"/>
                <w:bCs/>
                <w:color w:val="000000"/>
                <w:sz w:val="24"/>
                <w:szCs w:val="24"/>
              </w:rPr>
            </w:pP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color w:val="000000"/>
                <w:sz w:val="24"/>
                <w:szCs w:val="24"/>
              </w:rPr>
            </w:pPr>
            <w:r w:rsidRPr="0076262A">
              <w:rPr>
                <w:color w:val="000000"/>
                <w:sz w:val="24"/>
                <w:szCs w:val="24"/>
              </w:rPr>
              <w:t>Excluir.</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sz w:val="24"/>
                <w:szCs w:val="24"/>
              </w:rPr>
            </w:pPr>
            <w:r w:rsidRPr="0076262A">
              <w:rPr>
                <w:sz w:val="24"/>
                <w:szCs w:val="24"/>
              </w:rPr>
              <w:t>Mesma justificativa anterior.</w:t>
            </w:r>
          </w:p>
        </w:tc>
      </w:tr>
      <w:tr w:rsidR="0006620A" w:rsidRPr="00F1009B"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06620A" w:rsidRPr="0076262A" w:rsidRDefault="0006620A" w:rsidP="0076262A">
            <w:pPr>
              <w:spacing w:before="120" w:after="120"/>
              <w:jc w:val="center"/>
              <w:rPr>
                <w:sz w:val="24"/>
                <w:szCs w:val="24"/>
              </w:rPr>
            </w:pPr>
            <w:r w:rsidRPr="0076262A">
              <w:rPr>
                <w:rFonts w:eastAsia="Arial Unicode MS"/>
                <w:bCs/>
                <w:sz w:val="24"/>
                <w:szCs w:val="24"/>
              </w:rPr>
              <w:t>MME</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bCs/>
                <w:sz w:val="24"/>
                <w:szCs w:val="24"/>
              </w:rPr>
            </w:pPr>
            <w:r w:rsidRPr="0076262A">
              <w:rPr>
                <w:bCs/>
                <w:sz w:val="24"/>
                <w:szCs w:val="24"/>
              </w:rPr>
              <w:t xml:space="preserve">Incluir a seguinte nota de observação ao item “Teor de água, máx.” da Tabela IV, do </w:t>
            </w:r>
            <w:r w:rsidRPr="0076262A">
              <w:rPr>
                <w:bCs/>
                <w:sz w:val="24"/>
                <w:szCs w:val="24"/>
              </w:rPr>
              <w:lastRenderedPageBreak/>
              <w:t>anexo.</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rFonts w:eastAsia="Arial Unicode MS"/>
                <w:sz w:val="24"/>
                <w:szCs w:val="24"/>
              </w:rPr>
            </w:pPr>
            <w:proofErr w:type="gramStart"/>
            <w:r w:rsidRPr="0076262A">
              <w:rPr>
                <w:sz w:val="24"/>
                <w:szCs w:val="24"/>
              </w:rPr>
              <w:lastRenderedPageBreak/>
              <w:t>(11) Para</w:t>
            </w:r>
            <w:proofErr w:type="gramEnd"/>
            <w:r w:rsidRPr="0076262A">
              <w:rPr>
                <w:sz w:val="24"/>
                <w:szCs w:val="24"/>
              </w:rPr>
              <w:t xml:space="preserve"> efeito de fiscalização, nas autuações por não conformidade, será admitida variação de +50 mg/kg no limite do teor de água no biodiesel para o produtor e de +150 mg/kg para o distribuidor.</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06620A" w:rsidRPr="0076262A" w:rsidRDefault="0006620A" w:rsidP="0076262A">
            <w:pPr>
              <w:jc w:val="center"/>
              <w:rPr>
                <w:sz w:val="24"/>
                <w:szCs w:val="24"/>
              </w:rPr>
            </w:pPr>
            <w:r w:rsidRPr="0076262A">
              <w:rPr>
                <w:sz w:val="24"/>
                <w:szCs w:val="24"/>
              </w:rPr>
              <w:t>Unificar tratamento com o disposto na Resolução ANP nº 45/2015.</w:t>
            </w:r>
          </w:p>
          <w:p w:rsidR="0006620A" w:rsidRPr="0076262A" w:rsidRDefault="0006620A" w:rsidP="0076262A">
            <w:pPr>
              <w:jc w:val="center"/>
              <w:rPr>
                <w:sz w:val="24"/>
                <w:szCs w:val="24"/>
              </w:rPr>
            </w:pPr>
          </w:p>
          <w:p w:rsidR="0006620A" w:rsidRPr="0076262A" w:rsidRDefault="0006620A" w:rsidP="0076262A">
            <w:pPr>
              <w:jc w:val="center"/>
              <w:rPr>
                <w:rFonts w:eastAsia="Arial Unicode MS"/>
                <w:sz w:val="24"/>
                <w:szCs w:val="24"/>
              </w:rPr>
            </w:pPr>
          </w:p>
        </w:tc>
      </w:tr>
      <w:tr w:rsidR="00A7399C" w:rsidRPr="00F1009B"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A7399C" w:rsidRPr="0076262A" w:rsidRDefault="000C2F99" w:rsidP="0076262A">
            <w:pPr>
              <w:spacing w:before="120" w:after="120"/>
              <w:jc w:val="center"/>
              <w:rPr>
                <w:sz w:val="24"/>
                <w:szCs w:val="24"/>
              </w:rPr>
            </w:pPr>
            <w:r w:rsidRPr="0076262A">
              <w:rPr>
                <w:sz w:val="24"/>
                <w:szCs w:val="24"/>
              </w:rPr>
              <w:t xml:space="preserve">Anton </w:t>
            </w:r>
            <w:proofErr w:type="spellStart"/>
            <w:r w:rsidRPr="0076262A">
              <w:rPr>
                <w:sz w:val="24"/>
                <w:szCs w:val="24"/>
              </w:rPr>
              <w:t>Paar</w:t>
            </w:r>
            <w:proofErr w:type="spellEnd"/>
            <w:r w:rsidRPr="0076262A">
              <w:rPr>
                <w:sz w:val="24"/>
                <w:szCs w:val="24"/>
              </w:rPr>
              <w:t xml:space="preserve"> Brasil</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A7399C" w:rsidRPr="0076262A" w:rsidRDefault="00A7399C" w:rsidP="0076262A">
            <w:pPr>
              <w:jc w:val="center"/>
              <w:rPr>
                <w:rFonts w:eastAsia="Arial Unicode MS"/>
                <w:b/>
                <w:bCs/>
                <w:sz w:val="24"/>
                <w:szCs w:val="24"/>
              </w:rPr>
            </w:pPr>
            <w:r w:rsidRPr="0076262A">
              <w:rPr>
                <w:b/>
                <w:bCs/>
                <w:color w:val="000000"/>
                <w:sz w:val="24"/>
                <w:szCs w:val="24"/>
              </w:rPr>
              <w:t>Anexo I – Regulamento Técnico (Normas Aplicáveis)</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7399C" w:rsidRPr="0076262A" w:rsidRDefault="00A7399C" w:rsidP="0076262A">
            <w:pPr>
              <w:jc w:val="center"/>
              <w:rPr>
                <w:rFonts w:eastAsia="Arial Unicode MS"/>
                <w:sz w:val="24"/>
                <w:szCs w:val="24"/>
              </w:rPr>
            </w:pPr>
            <w:r w:rsidRPr="0076262A">
              <w:rPr>
                <w:sz w:val="24"/>
                <w:szCs w:val="24"/>
              </w:rPr>
              <w:t xml:space="preserve">Inclusão da metodologia ABNT NBR 15983 e ASTM D7042, para determinação de viscosidade dinâmica e massa específica de líquidos através de viscosidade </w:t>
            </w:r>
            <w:proofErr w:type="spellStart"/>
            <w:r w:rsidRPr="0076262A">
              <w:rPr>
                <w:sz w:val="24"/>
                <w:szCs w:val="24"/>
              </w:rPr>
              <w:t>Stabinger</w:t>
            </w:r>
            <w:proofErr w:type="spellEnd"/>
            <w:r w:rsidRPr="0076262A">
              <w:rPr>
                <w:sz w:val="24"/>
                <w:szCs w:val="24"/>
              </w:rPr>
              <w:t xml:space="preserve"> (e o cálculo de viscosidade cinemática).</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7399C" w:rsidRPr="0076262A" w:rsidRDefault="00A7399C" w:rsidP="0076262A">
            <w:pPr>
              <w:jc w:val="center"/>
              <w:rPr>
                <w:sz w:val="24"/>
                <w:szCs w:val="24"/>
              </w:rPr>
            </w:pPr>
            <w:r w:rsidRPr="0076262A">
              <w:rPr>
                <w:sz w:val="24"/>
                <w:szCs w:val="24"/>
              </w:rPr>
              <w:t>No item 15.4.5 da norma ASTM D7042-14 comprova-se que os resultados obtidos pela ASTM D445 são equivalentes aos obtidos através da ASTM D7042, para amostras de biodiesel e misturas de biodiesel. Dessa forma esta metodologia pode ser inserida como alternativa, para determinação da viscosidade cinemática de óleo diesel de B8 a B20.</w:t>
            </w:r>
          </w:p>
          <w:p w:rsidR="00A7399C" w:rsidRPr="0076262A" w:rsidRDefault="00A7399C" w:rsidP="0076262A">
            <w:pPr>
              <w:jc w:val="center"/>
              <w:rPr>
                <w:sz w:val="24"/>
                <w:szCs w:val="24"/>
              </w:rPr>
            </w:pPr>
          </w:p>
          <w:p w:rsidR="00A7399C" w:rsidRPr="0076262A" w:rsidRDefault="00A7399C" w:rsidP="0076262A">
            <w:pPr>
              <w:jc w:val="center"/>
              <w:rPr>
                <w:sz w:val="24"/>
                <w:szCs w:val="24"/>
              </w:rPr>
            </w:pPr>
            <w:r w:rsidRPr="0076262A">
              <w:rPr>
                <w:sz w:val="24"/>
                <w:szCs w:val="24"/>
              </w:rPr>
              <w:t>Através do método ASTM D7042 pode-se obter resultados em menor tempo, utilizando pouco volume de amostra e com alta precisão. Assim é possível otimizar o tempo de entrega dos resultados de análises.</w:t>
            </w:r>
          </w:p>
          <w:p w:rsidR="00A7399C" w:rsidRPr="0076262A" w:rsidRDefault="00A7399C" w:rsidP="0076262A">
            <w:pPr>
              <w:jc w:val="center"/>
              <w:rPr>
                <w:sz w:val="24"/>
                <w:szCs w:val="24"/>
              </w:rPr>
            </w:pPr>
          </w:p>
          <w:p w:rsidR="00A7399C" w:rsidRPr="0076262A" w:rsidRDefault="00A7399C" w:rsidP="0076262A">
            <w:pPr>
              <w:jc w:val="center"/>
              <w:rPr>
                <w:sz w:val="24"/>
                <w:szCs w:val="24"/>
              </w:rPr>
            </w:pPr>
            <w:r w:rsidRPr="0076262A">
              <w:rPr>
                <w:sz w:val="24"/>
                <w:szCs w:val="24"/>
              </w:rPr>
              <w:t>Utiliza-se também um volume reduzido de solventes para limpeza e consequentemente a quantidade de resíduos produzidos, que necessitam de descarte especial, é menor.</w:t>
            </w:r>
          </w:p>
          <w:p w:rsidR="00A7399C" w:rsidRPr="0076262A" w:rsidRDefault="00A7399C" w:rsidP="0076262A">
            <w:pPr>
              <w:jc w:val="center"/>
              <w:rPr>
                <w:sz w:val="24"/>
                <w:szCs w:val="24"/>
              </w:rPr>
            </w:pPr>
          </w:p>
          <w:p w:rsidR="00A7399C" w:rsidRPr="0076262A" w:rsidRDefault="00A7399C" w:rsidP="0076262A">
            <w:pPr>
              <w:jc w:val="center"/>
              <w:rPr>
                <w:sz w:val="24"/>
                <w:szCs w:val="24"/>
              </w:rPr>
            </w:pPr>
            <w:r w:rsidRPr="0076262A">
              <w:rPr>
                <w:sz w:val="24"/>
                <w:szCs w:val="24"/>
              </w:rPr>
              <w:t xml:space="preserve">A utilização de tecnologia </w:t>
            </w:r>
            <w:proofErr w:type="spellStart"/>
            <w:r w:rsidRPr="0076262A">
              <w:rPr>
                <w:sz w:val="24"/>
                <w:szCs w:val="24"/>
              </w:rPr>
              <w:t>Peltier</w:t>
            </w:r>
            <w:proofErr w:type="spellEnd"/>
            <w:r w:rsidRPr="0076262A">
              <w:rPr>
                <w:sz w:val="24"/>
                <w:szCs w:val="24"/>
              </w:rPr>
              <w:t xml:space="preserve"> permite estabilizações precisas de temperatura, com maior eficiência e em menor tempo, eliminando a necessidade de banhos externos de circulação.</w:t>
            </w:r>
          </w:p>
          <w:p w:rsidR="00A7399C" w:rsidRPr="0076262A" w:rsidRDefault="00A7399C" w:rsidP="0076262A">
            <w:pPr>
              <w:jc w:val="center"/>
              <w:rPr>
                <w:sz w:val="24"/>
                <w:szCs w:val="24"/>
              </w:rPr>
            </w:pPr>
          </w:p>
        </w:tc>
      </w:tr>
      <w:tr w:rsidR="00FE3463" w:rsidRPr="00F1009B"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687985" w:rsidRPr="0076262A" w:rsidRDefault="000C2F99" w:rsidP="0076262A">
            <w:pPr>
              <w:spacing w:before="120" w:after="120"/>
              <w:jc w:val="center"/>
              <w:rPr>
                <w:sz w:val="24"/>
                <w:szCs w:val="24"/>
              </w:rPr>
            </w:pPr>
            <w:r w:rsidRPr="0076262A">
              <w:rPr>
                <w:sz w:val="24"/>
                <w:szCs w:val="24"/>
              </w:rPr>
              <w:t xml:space="preserve">Anton </w:t>
            </w:r>
            <w:proofErr w:type="spellStart"/>
            <w:r w:rsidRPr="0076262A">
              <w:rPr>
                <w:sz w:val="24"/>
                <w:szCs w:val="24"/>
              </w:rPr>
              <w:t>Paar</w:t>
            </w:r>
            <w:proofErr w:type="spellEnd"/>
            <w:r w:rsidRPr="0076262A">
              <w:rPr>
                <w:sz w:val="24"/>
                <w:szCs w:val="24"/>
              </w:rPr>
              <w:t xml:space="preserve"> Brasil</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A7399C" w:rsidRPr="0076262A" w:rsidRDefault="00A7399C" w:rsidP="0076262A">
            <w:pPr>
              <w:jc w:val="center"/>
              <w:rPr>
                <w:rFonts w:eastAsia="Arial Unicode MS"/>
                <w:sz w:val="24"/>
                <w:szCs w:val="24"/>
              </w:rPr>
            </w:pPr>
          </w:p>
          <w:p w:rsidR="00687985" w:rsidRPr="0076262A" w:rsidRDefault="00A7399C" w:rsidP="0076262A">
            <w:pPr>
              <w:spacing w:before="120" w:after="120"/>
              <w:jc w:val="center"/>
              <w:rPr>
                <w:rFonts w:eastAsiaTheme="minorHAnsi"/>
                <w:bCs/>
                <w:sz w:val="24"/>
                <w:szCs w:val="24"/>
                <w:lang w:eastAsia="en-US"/>
              </w:rPr>
            </w:pPr>
            <w:r w:rsidRPr="0076262A">
              <w:rPr>
                <w:b/>
                <w:bCs/>
                <w:color w:val="000000"/>
                <w:sz w:val="24"/>
                <w:szCs w:val="24"/>
              </w:rPr>
              <w:t xml:space="preserve">Anexo I – Regulamento </w:t>
            </w:r>
            <w:r w:rsidRPr="0076262A">
              <w:rPr>
                <w:b/>
                <w:bCs/>
                <w:color w:val="000000"/>
                <w:sz w:val="24"/>
                <w:szCs w:val="24"/>
              </w:rPr>
              <w:lastRenderedPageBreak/>
              <w:t>Técnico (Normas Aplicáveis)</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687985" w:rsidRPr="0076262A" w:rsidRDefault="00A7399C" w:rsidP="0076262A">
            <w:pPr>
              <w:autoSpaceDE w:val="0"/>
              <w:autoSpaceDN w:val="0"/>
              <w:adjustRightInd w:val="0"/>
              <w:jc w:val="center"/>
              <w:rPr>
                <w:rFonts w:eastAsiaTheme="minorHAnsi"/>
                <w:bCs/>
                <w:sz w:val="24"/>
                <w:szCs w:val="24"/>
                <w:lang w:eastAsia="en-US"/>
              </w:rPr>
            </w:pPr>
            <w:r w:rsidRPr="0076262A">
              <w:rPr>
                <w:sz w:val="24"/>
                <w:szCs w:val="24"/>
              </w:rPr>
              <w:lastRenderedPageBreak/>
              <w:t xml:space="preserve">Inclusão da metodologia ASTM D7545 e EN 16091, para determinação da estabilidade </w:t>
            </w:r>
            <w:proofErr w:type="spellStart"/>
            <w:r w:rsidRPr="0076262A">
              <w:rPr>
                <w:sz w:val="24"/>
                <w:szCs w:val="24"/>
              </w:rPr>
              <w:t>oxidativa</w:t>
            </w:r>
            <w:proofErr w:type="spellEnd"/>
            <w:r w:rsidRPr="0076262A">
              <w:rPr>
                <w:sz w:val="24"/>
                <w:szCs w:val="24"/>
              </w:rPr>
              <w:t xml:space="preserve"> de diesel, biodiesel/FAME e misturas de biodiesel.</w:t>
            </w: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A7399C" w:rsidRPr="0076262A" w:rsidRDefault="00A7399C" w:rsidP="0076262A">
            <w:pPr>
              <w:jc w:val="center"/>
              <w:rPr>
                <w:sz w:val="24"/>
                <w:szCs w:val="24"/>
              </w:rPr>
            </w:pPr>
            <w:r w:rsidRPr="0076262A">
              <w:rPr>
                <w:sz w:val="24"/>
                <w:szCs w:val="24"/>
              </w:rPr>
              <w:t>Através da metodologia ASTM D7545 é possível analisar amostras de diesel, biodiesel e misturas de biodiesel (B0 a B100), diferentemente da metodologia convencional EN 15751.</w:t>
            </w:r>
          </w:p>
          <w:p w:rsidR="00A7399C" w:rsidRPr="0076262A" w:rsidRDefault="00A7399C" w:rsidP="0076262A">
            <w:pPr>
              <w:jc w:val="center"/>
              <w:rPr>
                <w:sz w:val="24"/>
                <w:szCs w:val="24"/>
              </w:rPr>
            </w:pPr>
          </w:p>
          <w:p w:rsidR="00A7399C" w:rsidRPr="0076262A" w:rsidRDefault="00A7399C" w:rsidP="0076262A">
            <w:pPr>
              <w:jc w:val="center"/>
              <w:rPr>
                <w:sz w:val="24"/>
                <w:szCs w:val="24"/>
              </w:rPr>
            </w:pPr>
            <w:r w:rsidRPr="0076262A">
              <w:rPr>
                <w:sz w:val="24"/>
                <w:szCs w:val="24"/>
              </w:rPr>
              <w:lastRenderedPageBreak/>
              <w:t>O tempo de teste pode ser dez vezes menor, comparado ao método convencional (aproximadamente 1 hora).</w:t>
            </w:r>
          </w:p>
          <w:p w:rsidR="00A7399C" w:rsidRPr="0076262A" w:rsidRDefault="00A7399C" w:rsidP="0076262A">
            <w:pPr>
              <w:jc w:val="center"/>
              <w:rPr>
                <w:sz w:val="24"/>
                <w:szCs w:val="24"/>
              </w:rPr>
            </w:pPr>
          </w:p>
          <w:p w:rsidR="00A7399C" w:rsidRPr="0076262A" w:rsidRDefault="00A7399C" w:rsidP="0076262A">
            <w:pPr>
              <w:jc w:val="center"/>
              <w:rPr>
                <w:sz w:val="24"/>
                <w:szCs w:val="24"/>
              </w:rPr>
            </w:pPr>
            <w:r w:rsidRPr="0076262A">
              <w:rPr>
                <w:sz w:val="24"/>
                <w:szCs w:val="24"/>
              </w:rPr>
              <w:t>Utiliza-se apenas 5mL de amostra para realização do teste, não havendo necessidade de preparação previa da amostra.</w:t>
            </w:r>
          </w:p>
          <w:p w:rsidR="00A7399C" w:rsidRPr="0076262A" w:rsidRDefault="00A7399C" w:rsidP="0076262A">
            <w:pPr>
              <w:jc w:val="center"/>
              <w:rPr>
                <w:sz w:val="24"/>
                <w:szCs w:val="24"/>
              </w:rPr>
            </w:pPr>
          </w:p>
          <w:p w:rsidR="00A7399C" w:rsidRPr="0076262A" w:rsidRDefault="00A7399C" w:rsidP="0076262A">
            <w:pPr>
              <w:jc w:val="center"/>
              <w:rPr>
                <w:sz w:val="24"/>
                <w:szCs w:val="24"/>
              </w:rPr>
            </w:pPr>
            <w:r w:rsidRPr="0076262A">
              <w:rPr>
                <w:sz w:val="24"/>
                <w:szCs w:val="24"/>
              </w:rPr>
              <w:t xml:space="preserve">Melhor </w:t>
            </w:r>
            <w:proofErr w:type="spellStart"/>
            <w:r w:rsidRPr="0076262A">
              <w:rPr>
                <w:sz w:val="24"/>
                <w:szCs w:val="24"/>
              </w:rPr>
              <w:t>repetibilidade</w:t>
            </w:r>
            <w:proofErr w:type="spellEnd"/>
            <w:r w:rsidRPr="0076262A">
              <w:rPr>
                <w:sz w:val="24"/>
                <w:szCs w:val="24"/>
              </w:rPr>
              <w:t xml:space="preserve"> e reprodutibilidade, comparado ao método convencional EN 15751, &lt;5% e 10% consecutivamente.</w:t>
            </w:r>
          </w:p>
          <w:p w:rsidR="00A7399C" w:rsidRPr="0076262A" w:rsidRDefault="00A7399C" w:rsidP="0076262A">
            <w:pPr>
              <w:jc w:val="center"/>
              <w:rPr>
                <w:sz w:val="24"/>
                <w:szCs w:val="24"/>
              </w:rPr>
            </w:pPr>
          </w:p>
          <w:p w:rsidR="00A7399C" w:rsidRPr="0076262A" w:rsidRDefault="00A7399C" w:rsidP="0076262A">
            <w:pPr>
              <w:jc w:val="center"/>
              <w:rPr>
                <w:sz w:val="24"/>
                <w:szCs w:val="24"/>
              </w:rPr>
            </w:pPr>
            <w:r w:rsidRPr="0076262A">
              <w:rPr>
                <w:sz w:val="24"/>
                <w:szCs w:val="24"/>
              </w:rPr>
              <w:t xml:space="preserve">O analisador </w:t>
            </w:r>
            <w:proofErr w:type="spellStart"/>
            <w:r w:rsidRPr="0076262A">
              <w:rPr>
                <w:sz w:val="24"/>
                <w:szCs w:val="24"/>
              </w:rPr>
              <w:t>PetroOxy</w:t>
            </w:r>
            <w:proofErr w:type="spellEnd"/>
            <w:r w:rsidRPr="0076262A">
              <w:rPr>
                <w:sz w:val="24"/>
                <w:szCs w:val="24"/>
              </w:rPr>
              <w:t>, descrito na ASTM D7545, teve sua segurança de análise aprovada pelo Instituto Federal Alemão para Pesquisas de Materiais e Testes (BAM).</w:t>
            </w:r>
          </w:p>
          <w:p w:rsidR="00A7399C" w:rsidRPr="0076262A" w:rsidRDefault="00A7399C" w:rsidP="0076262A">
            <w:pPr>
              <w:jc w:val="center"/>
              <w:rPr>
                <w:sz w:val="24"/>
                <w:szCs w:val="24"/>
              </w:rPr>
            </w:pPr>
          </w:p>
          <w:p w:rsidR="00A7399C" w:rsidRPr="0076262A" w:rsidRDefault="00A7399C" w:rsidP="0076262A">
            <w:pPr>
              <w:jc w:val="center"/>
              <w:rPr>
                <w:sz w:val="24"/>
                <w:szCs w:val="24"/>
              </w:rPr>
            </w:pPr>
            <w:r w:rsidRPr="0076262A">
              <w:rPr>
                <w:sz w:val="24"/>
                <w:szCs w:val="24"/>
              </w:rPr>
              <w:t>O sistema de análise deste método é fechado, desta forma não há influencias externas nos parâmetros, aumentando a precisão e confiabilidade dos valores obtidos.</w:t>
            </w:r>
          </w:p>
          <w:p w:rsidR="00A7399C" w:rsidRPr="0076262A" w:rsidRDefault="00A7399C" w:rsidP="0076262A">
            <w:pPr>
              <w:jc w:val="center"/>
              <w:rPr>
                <w:sz w:val="24"/>
                <w:szCs w:val="24"/>
              </w:rPr>
            </w:pPr>
          </w:p>
          <w:p w:rsidR="00A7399C" w:rsidRPr="0076262A" w:rsidRDefault="00A7399C" w:rsidP="0076262A">
            <w:pPr>
              <w:jc w:val="center"/>
              <w:rPr>
                <w:sz w:val="24"/>
                <w:szCs w:val="24"/>
              </w:rPr>
            </w:pPr>
            <w:r w:rsidRPr="0076262A">
              <w:rPr>
                <w:sz w:val="24"/>
                <w:szCs w:val="24"/>
              </w:rPr>
              <w:t xml:space="preserve">Baixo custo de manutenção e de acessórios necessários, sendo o </w:t>
            </w:r>
            <w:proofErr w:type="spellStart"/>
            <w:r w:rsidRPr="0076262A">
              <w:rPr>
                <w:sz w:val="24"/>
                <w:szCs w:val="24"/>
              </w:rPr>
              <w:t>o’rings</w:t>
            </w:r>
            <w:proofErr w:type="spellEnd"/>
            <w:r w:rsidRPr="0076262A">
              <w:rPr>
                <w:sz w:val="24"/>
                <w:szCs w:val="24"/>
              </w:rPr>
              <w:t xml:space="preserve"> de vedação o único item a ser substituído.</w:t>
            </w:r>
          </w:p>
          <w:p w:rsidR="00A7399C" w:rsidRPr="0076262A" w:rsidRDefault="00A7399C" w:rsidP="0076262A">
            <w:pPr>
              <w:jc w:val="center"/>
              <w:rPr>
                <w:sz w:val="24"/>
                <w:szCs w:val="24"/>
              </w:rPr>
            </w:pPr>
          </w:p>
          <w:p w:rsidR="00A7399C" w:rsidRPr="0076262A" w:rsidRDefault="00A7399C" w:rsidP="0076262A">
            <w:pPr>
              <w:jc w:val="center"/>
              <w:rPr>
                <w:sz w:val="24"/>
                <w:szCs w:val="24"/>
              </w:rPr>
            </w:pPr>
            <w:r w:rsidRPr="0076262A">
              <w:rPr>
                <w:sz w:val="24"/>
                <w:szCs w:val="24"/>
              </w:rPr>
              <w:t>A limpeza da célula de medição é simples e fácil. Utiliza-se apenas papel macio e pouco solvente (2mL até 3mL), diminuindo assim a formação de resíduos e otimizando o tempo entre as análises.</w:t>
            </w:r>
          </w:p>
          <w:p w:rsidR="00687985" w:rsidRPr="0076262A" w:rsidRDefault="00687985" w:rsidP="0076262A">
            <w:pPr>
              <w:autoSpaceDE w:val="0"/>
              <w:autoSpaceDN w:val="0"/>
              <w:adjustRightInd w:val="0"/>
              <w:jc w:val="center"/>
              <w:rPr>
                <w:rFonts w:eastAsiaTheme="minorHAnsi"/>
                <w:bCs/>
                <w:sz w:val="24"/>
                <w:szCs w:val="24"/>
                <w:lang w:eastAsia="en-US"/>
              </w:rPr>
            </w:pPr>
          </w:p>
        </w:tc>
      </w:tr>
      <w:tr w:rsidR="00FE3463" w:rsidRPr="00F1009B"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687985" w:rsidRPr="0076262A" w:rsidRDefault="008E1CEA" w:rsidP="0076262A">
            <w:pPr>
              <w:spacing w:before="120" w:after="120"/>
              <w:jc w:val="center"/>
              <w:rPr>
                <w:sz w:val="24"/>
                <w:szCs w:val="24"/>
              </w:rPr>
            </w:pPr>
            <w:proofErr w:type="spellStart"/>
            <w:r w:rsidRPr="0076262A">
              <w:rPr>
                <w:sz w:val="24"/>
                <w:szCs w:val="24"/>
              </w:rPr>
              <w:lastRenderedPageBreak/>
              <w:t>Pensalab</w:t>
            </w:r>
            <w:proofErr w:type="spellEnd"/>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687985" w:rsidRPr="0076262A" w:rsidRDefault="008E1CEA" w:rsidP="0076262A">
            <w:pPr>
              <w:spacing w:before="120" w:after="120"/>
              <w:jc w:val="center"/>
              <w:rPr>
                <w:rFonts w:eastAsiaTheme="minorHAnsi"/>
                <w:bCs/>
                <w:sz w:val="24"/>
                <w:szCs w:val="24"/>
                <w:lang w:eastAsia="en-US"/>
              </w:rPr>
            </w:pPr>
            <w:r w:rsidRPr="0076262A">
              <w:rPr>
                <w:rFonts w:eastAsiaTheme="minorHAnsi"/>
                <w:bCs/>
                <w:sz w:val="24"/>
                <w:szCs w:val="24"/>
                <w:lang w:eastAsia="en-US"/>
              </w:rPr>
              <w:t>6º</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E1CEA" w:rsidRPr="0076262A" w:rsidRDefault="008E1CEA" w:rsidP="0076262A">
            <w:pPr>
              <w:autoSpaceDE w:val="0"/>
              <w:autoSpaceDN w:val="0"/>
              <w:adjustRightInd w:val="0"/>
              <w:jc w:val="center"/>
              <w:rPr>
                <w:rFonts w:eastAsiaTheme="minorHAnsi"/>
                <w:color w:val="000000"/>
                <w:sz w:val="24"/>
                <w:szCs w:val="24"/>
                <w:lang w:eastAsia="en-US"/>
              </w:rPr>
            </w:pPr>
          </w:p>
          <w:tbl>
            <w:tblPr>
              <w:tblW w:w="0" w:type="auto"/>
              <w:tblBorders>
                <w:top w:val="nil"/>
                <w:left w:val="nil"/>
                <w:bottom w:val="nil"/>
                <w:right w:val="nil"/>
              </w:tblBorders>
              <w:tblLayout w:type="fixed"/>
              <w:tblLook w:val="0000" w:firstRow="0" w:lastRow="0" w:firstColumn="0" w:lastColumn="0" w:noHBand="0" w:noVBand="0"/>
            </w:tblPr>
            <w:tblGrid>
              <w:gridCol w:w="6915"/>
            </w:tblGrid>
            <w:tr w:rsidR="008E1CEA" w:rsidRPr="0076262A">
              <w:trPr>
                <w:trHeight w:val="213"/>
              </w:trPr>
              <w:tc>
                <w:tcPr>
                  <w:tcW w:w="6915" w:type="dxa"/>
                </w:tcPr>
                <w:p w:rsidR="008E1CEA" w:rsidRPr="0076262A" w:rsidRDefault="008E1CEA" w:rsidP="0076262A">
                  <w:pPr>
                    <w:autoSpaceDE w:val="0"/>
                    <w:autoSpaceDN w:val="0"/>
                    <w:adjustRightInd w:val="0"/>
                    <w:jc w:val="center"/>
                    <w:rPr>
                      <w:rFonts w:eastAsiaTheme="minorHAnsi"/>
                      <w:color w:val="000000"/>
                      <w:sz w:val="24"/>
                      <w:szCs w:val="24"/>
                      <w:lang w:eastAsia="en-US"/>
                    </w:rPr>
                  </w:pPr>
                  <w:r w:rsidRPr="0076262A">
                    <w:rPr>
                      <w:rFonts w:eastAsiaTheme="minorHAnsi"/>
                      <w:color w:val="000000"/>
                      <w:sz w:val="24"/>
                      <w:szCs w:val="24"/>
                      <w:lang w:eastAsia="en-US"/>
                    </w:rPr>
                    <w:t>Inclusão da medição de lubricidade segundo as normas ASTM D6079 e D7688.</w:t>
                  </w:r>
                </w:p>
              </w:tc>
            </w:tr>
          </w:tbl>
          <w:p w:rsidR="00687985" w:rsidRPr="0076262A" w:rsidRDefault="00687985" w:rsidP="0076262A">
            <w:pPr>
              <w:autoSpaceDE w:val="0"/>
              <w:autoSpaceDN w:val="0"/>
              <w:adjustRightInd w:val="0"/>
              <w:jc w:val="center"/>
              <w:rPr>
                <w:rFonts w:eastAsiaTheme="minorHAnsi"/>
                <w:bCs/>
                <w:sz w:val="24"/>
                <w:szCs w:val="24"/>
                <w:lang w:eastAsia="en-US"/>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E1CEA" w:rsidRPr="0076262A" w:rsidRDefault="008E1CEA" w:rsidP="0076262A">
            <w:pPr>
              <w:autoSpaceDE w:val="0"/>
              <w:autoSpaceDN w:val="0"/>
              <w:adjustRightInd w:val="0"/>
              <w:jc w:val="center"/>
              <w:rPr>
                <w:rFonts w:eastAsiaTheme="minorHAnsi"/>
                <w:color w:val="000000"/>
                <w:sz w:val="24"/>
                <w:szCs w:val="24"/>
                <w:lang w:eastAsia="en-US"/>
              </w:rPr>
            </w:pPr>
          </w:p>
          <w:tbl>
            <w:tblPr>
              <w:tblW w:w="0" w:type="auto"/>
              <w:tblBorders>
                <w:top w:val="nil"/>
                <w:left w:val="nil"/>
                <w:bottom w:val="nil"/>
                <w:right w:val="nil"/>
              </w:tblBorders>
              <w:tblLayout w:type="fixed"/>
              <w:tblLook w:val="0000" w:firstRow="0" w:lastRow="0" w:firstColumn="0" w:lastColumn="0" w:noHBand="0" w:noVBand="0"/>
            </w:tblPr>
            <w:tblGrid>
              <w:gridCol w:w="5641"/>
            </w:tblGrid>
            <w:tr w:rsidR="008E1CEA" w:rsidRPr="0076262A">
              <w:trPr>
                <w:trHeight w:val="787"/>
              </w:trPr>
              <w:tc>
                <w:tcPr>
                  <w:tcW w:w="5641" w:type="dxa"/>
                </w:tcPr>
                <w:p w:rsidR="008E1CEA" w:rsidRPr="0076262A" w:rsidRDefault="008E1CEA" w:rsidP="0076262A">
                  <w:pPr>
                    <w:autoSpaceDE w:val="0"/>
                    <w:autoSpaceDN w:val="0"/>
                    <w:adjustRightInd w:val="0"/>
                    <w:jc w:val="center"/>
                    <w:rPr>
                      <w:rFonts w:eastAsiaTheme="minorHAnsi"/>
                      <w:color w:val="000000"/>
                      <w:sz w:val="24"/>
                      <w:szCs w:val="24"/>
                      <w:lang w:eastAsia="en-US"/>
                    </w:rPr>
                  </w:pPr>
                  <w:r w:rsidRPr="0076262A">
                    <w:rPr>
                      <w:rFonts w:eastAsiaTheme="minorHAnsi"/>
                      <w:color w:val="000000"/>
                      <w:sz w:val="24"/>
                      <w:szCs w:val="24"/>
                      <w:lang w:eastAsia="en-US"/>
                    </w:rPr>
                    <w:t xml:space="preserve">A medição de lubricidade é uma avaliação importante para reduzir o desgaste dos motores a diesel e contribui com a redução de emissões e consumo de combustível. </w:t>
                  </w:r>
                  <w:r w:rsidRPr="0076262A">
                    <w:rPr>
                      <w:rFonts w:eastAsiaTheme="minorHAnsi"/>
                      <w:color w:val="000000"/>
                      <w:sz w:val="24"/>
                      <w:szCs w:val="24"/>
                      <w:lang w:eastAsia="en-US"/>
                    </w:rPr>
                    <w:lastRenderedPageBreak/>
                    <w:t>Essa análise já se encontra presente na resolução ANP no 50/2013 e nas metodologias internacionais para avaliação da mistura de diesel e biodiesel, ASTM D7467, assim como para a especificação internacional de diesel, ASTM D975.</w:t>
                  </w:r>
                </w:p>
              </w:tc>
            </w:tr>
          </w:tbl>
          <w:p w:rsidR="00687985" w:rsidRPr="0076262A" w:rsidRDefault="00687985" w:rsidP="0076262A">
            <w:pPr>
              <w:autoSpaceDE w:val="0"/>
              <w:autoSpaceDN w:val="0"/>
              <w:adjustRightInd w:val="0"/>
              <w:jc w:val="center"/>
              <w:rPr>
                <w:rFonts w:eastAsiaTheme="minorHAnsi"/>
                <w:bCs/>
                <w:sz w:val="24"/>
                <w:szCs w:val="24"/>
                <w:lang w:eastAsia="en-US"/>
              </w:rPr>
            </w:pPr>
          </w:p>
        </w:tc>
      </w:tr>
      <w:tr w:rsidR="00FE3463" w:rsidRPr="00936494"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687985" w:rsidRPr="0076262A" w:rsidRDefault="008E1CEA" w:rsidP="0076262A">
            <w:pPr>
              <w:spacing w:before="120" w:after="120"/>
              <w:jc w:val="center"/>
              <w:rPr>
                <w:sz w:val="24"/>
                <w:szCs w:val="24"/>
              </w:rPr>
            </w:pPr>
            <w:proofErr w:type="spellStart"/>
            <w:r w:rsidRPr="0076262A">
              <w:rPr>
                <w:sz w:val="24"/>
                <w:szCs w:val="24"/>
              </w:rPr>
              <w:lastRenderedPageBreak/>
              <w:t>Pensalab</w:t>
            </w:r>
            <w:proofErr w:type="spellEnd"/>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687985" w:rsidRPr="0076262A" w:rsidRDefault="008E1CEA" w:rsidP="0076262A">
            <w:pPr>
              <w:jc w:val="center"/>
              <w:rPr>
                <w:rFonts w:eastAsia="Arial Unicode MS"/>
                <w:bCs/>
                <w:sz w:val="24"/>
                <w:szCs w:val="24"/>
              </w:rPr>
            </w:pPr>
            <w:r w:rsidRPr="0076262A">
              <w:rPr>
                <w:rFonts w:eastAsia="Arial Unicode MS"/>
                <w:bCs/>
                <w:sz w:val="24"/>
                <w:szCs w:val="24"/>
              </w:rPr>
              <w:t>6º</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E1CEA" w:rsidRPr="0076262A" w:rsidRDefault="008E1CEA" w:rsidP="0076262A">
            <w:pPr>
              <w:autoSpaceDE w:val="0"/>
              <w:autoSpaceDN w:val="0"/>
              <w:adjustRightInd w:val="0"/>
              <w:jc w:val="center"/>
              <w:rPr>
                <w:rFonts w:eastAsiaTheme="minorHAnsi"/>
                <w:color w:val="000000"/>
                <w:sz w:val="24"/>
                <w:szCs w:val="24"/>
                <w:lang w:eastAsia="en-US"/>
              </w:rPr>
            </w:pPr>
          </w:p>
          <w:tbl>
            <w:tblPr>
              <w:tblW w:w="0" w:type="auto"/>
              <w:tblBorders>
                <w:top w:val="nil"/>
                <w:left w:val="nil"/>
                <w:bottom w:val="nil"/>
                <w:right w:val="nil"/>
              </w:tblBorders>
              <w:tblLayout w:type="fixed"/>
              <w:tblLook w:val="0000" w:firstRow="0" w:lastRow="0" w:firstColumn="0" w:lastColumn="0" w:noHBand="0" w:noVBand="0"/>
            </w:tblPr>
            <w:tblGrid>
              <w:gridCol w:w="6080"/>
            </w:tblGrid>
            <w:tr w:rsidR="008E1CEA" w:rsidRPr="0076262A">
              <w:trPr>
                <w:trHeight w:val="93"/>
              </w:trPr>
              <w:tc>
                <w:tcPr>
                  <w:tcW w:w="6080" w:type="dxa"/>
                </w:tcPr>
                <w:p w:rsidR="008E1CEA" w:rsidRPr="0076262A" w:rsidRDefault="008E1CEA" w:rsidP="0076262A">
                  <w:pPr>
                    <w:autoSpaceDE w:val="0"/>
                    <w:autoSpaceDN w:val="0"/>
                    <w:adjustRightInd w:val="0"/>
                    <w:jc w:val="center"/>
                    <w:rPr>
                      <w:rFonts w:eastAsiaTheme="minorHAnsi"/>
                      <w:color w:val="000000"/>
                      <w:sz w:val="24"/>
                      <w:szCs w:val="24"/>
                      <w:lang w:eastAsia="en-US"/>
                    </w:rPr>
                  </w:pPr>
                  <w:r w:rsidRPr="0076262A">
                    <w:rPr>
                      <w:rFonts w:eastAsiaTheme="minorHAnsi"/>
                      <w:color w:val="000000"/>
                      <w:sz w:val="24"/>
                      <w:szCs w:val="24"/>
                      <w:lang w:eastAsia="en-US"/>
                    </w:rPr>
                    <w:t xml:space="preserve">Inclusão da medição de número de </w:t>
                  </w:r>
                  <w:proofErr w:type="spellStart"/>
                  <w:r w:rsidRPr="0076262A">
                    <w:rPr>
                      <w:rFonts w:eastAsiaTheme="minorHAnsi"/>
                      <w:color w:val="000000"/>
                      <w:sz w:val="24"/>
                      <w:szCs w:val="24"/>
                      <w:lang w:eastAsia="en-US"/>
                    </w:rPr>
                    <w:t>cetano</w:t>
                  </w:r>
                  <w:proofErr w:type="spellEnd"/>
                  <w:r w:rsidRPr="0076262A">
                    <w:rPr>
                      <w:rFonts w:eastAsiaTheme="minorHAnsi"/>
                      <w:color w:val="000000"/>
                      <w:sz w:val="24"/>
                      <w:szCs w:val="24"/>
                      <w:lang w:eastAsia="en-US"/>
                    </w:rPr>
                    <w:t xml:space="preserve"> segundo a ASTM D7668.</w:t>
                  </w:r>
                </w:p>
              </w:tc>
            </w:tr>
          </w:tbl>
          <w:p w:rsidR="00687985" w:rsidRPr="0076262A" w:rsidRDefault="00687985" w:rsidP="0076262A">
            <w:pPr>
              <w:jc w:val="center"/>
              <w:rPr>
                <w:rFonts w:eastAsia="Arial Unicode MS"/>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E1CEA" w:rsidRPr="0076262A" w:rsidRDefault="008E1CEA" w:rsidP="0076262A">
            <w:pPr>
              <w:autoSpaceDE w:val="0"/>
              <w:autoSpaceDN w:val="0"/>
              <w:adjustRightInd w:val="0"/>
              <w:jc w:val="center"/>
              <w:rPr>
                <w:rFonts w:eastAsiaTheme="minorHAnsi"/>
                <w:color w:val="000000"/>
                <w:sz w:val="24"/>
                <w:szCs w:val="24"/>
                <w:lang w:eastAsia="en-US"/>
              </w:rPr>
            </w:pPr>
          </w:p>
          <w:tbl>
            <w:tblPr>
              <w:tblW w:w="0" w:type="auto"/>
              <w:tblBorders>
                <w:top w:val="nil"/>
                <w:left w:val="nil"/>
                <w:bottom w:val="nil"/>
                <w:right w:val="nil"/>
              </w:tblBorders>
              <w:tblLayout w:type="fixed"/>
              <w:tblLook w:val="0000" w:firstRow="0" w:lastRow="0" w:firstColumn="0" w:lastColumn="0" w:noHBand="0" w:noVBand="0"/>
            </w:tblPr>
            <w:tblGrid>
              <w:gridCol w:w="5641"/>
            </w:tblGrid>
            <w:tr w:rsidR="008E1CEA" w:rsidRPr="0076262A">
              <w:trPr>
                <w:trHeight w:val="786"/>
              </w:trPr>
              <w:tc>
                <w:tcPr>
                  <w:tcW w:w="5641" w:type="dxa"/>
                </w:tcPr>
                <w:p w:rsidR="008E1CEA" w:rsidRPr="0076262A" w:rsidRDefault="008E1CEA" w:rsidP="0076262A">
                  <w:pPr>
                    <w:autoSpaceDE w:val="0"/>
                    <w:autoSpaceDN w:val="0"/>
                    <w:adjustRightInd w:val="0"/>
                    <w:jc w:val="center"/>
                    <w:rPr>
                      <w:rFonts w:eastAsiaTheme="minorHAnsi"/>
                      <w:color w:val="000000"/>
                      <w:sz w:val="24"/>
                      <w:szCs w:val="24"/>
                      <w:lang w:eastAsia="en-US"/>
                    </w:rPr>
                  </w:pPr>
                  <w:r w:rsidRPr="0076262A">
                    <w:rPr>
                      <w:rFonts w:eastAsiaTheme="minorHAnsi"/>
                      <w:color w:val="000000"/>
                      <w:sz w:val="24"/>
                      <w:szCs w:val="24"/>
                      <w:lang w:eastAsia="en-US"/>
                    </w:rPr>
                    <w:t xml:space="preserve">A ASTM D7668 já é utilizada internacionalmente para a medição do número de </w:t>
                  </w:r>
                  <w:proofErr w:type="spellStart"/>
                  <w:r w:rsidRPr="0076262A">
                    <w:rPr>
                      <w:rFonts w:eastAsiaTheme="minorHAnsi"/>
                      <w:color w:val="000000"/>
                      <w:sz w:val="24"/>
                      <w:szCs w:val="24"/>
                      <w:lang w:eastAsia="en-US"/>
                    </w:rPr>
                    <w:t>cetano</w:t>
                  </w:r>
                  <w:proofErr w:type="spellEnd"/>
                  <w:r w:rsidRPr="0076262A">
                    <w:rPr>
                      <w:rFonts w:eastAsiaTheme="minorHAnsi"/>
                      <w:color w:val="000000"/>
                      <w:sz w:val="24"/>
                      <w:szCs w:val="24"/>
                      <w:lang w:eastAsia="en-US"/>
                    </w:rPr>
                    <w:t xml:space="preserve"> como alternativa à ASTM D613 e D6890. Essa metodologia está presente nas resoluções internacionais ASTM D975, D7467 e D6751 para a medição em diesel, biodiesel e misturas de diesel e biodiesel. Estudos interlaboratoriais da ASTM mostram que a metodologia D7668 é a mais precisa quando comparada às D613 e D6890.</w:t>
                  </w:r>
                </w:p>
              </w:tc>
            </w:tr>
          </w:tbl>
          <w:p w:rsidR="00687985" w:rsidRPr="0076262A" w:rsidRDefault="00687985" w:rsidP="0076262A">
            <w:pPr>
              <w:spacing w:before="60"/>
              <w:jc w:val="center"/>
              <w:rPr>
                <w:sz w:val="24"/>
                <w:szCs w:val="24"/>
              </w:rPr>
            </w:pPr>
          </w:p>
        </w:tc>
      </w:tr>
      <w:tr w:rsidR="00FE3463" w:rsidRPr="00936494"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687985" w:rsidRPr="0076262A" w:rsidRDefault="008E1CEA" w:rsidP="0076262A">
            <w:pPr>
              <w:spacing w:before="120" w:after="120"/>
              <w:jc w:val="center"/>
              <w:rPr>
                <w:sz w:val="24"/>
                <w:szCs w:val="24"/>
              </w:rPr>
            </w:pPr>
            <w:proofErr w:type="spellStart"/>
            <w:r w:rsidRPr="0076262A">
              <w:rPr>
                <w:sz w:val="24"/>
                <w:szCs w:val="24"/>
              </w:rPr>
              <w:t>Pensalab</w:t>
            </w:r>
            <w:proofErr w:type="spellEnd"/>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687985" w:rsidRPr="0076262A" w:rsidRDefault="008E1CEA" w:rsidP="0076262A">
            <w:pPr>
              <w:jc w:val="center"/>
              <w:rPr>
                <w:rFonts w:eastAsia="Arial Unicode MS"/>
                <w:bCs/>
                <w:sz w:val="24"/>
                <w:szCs w:val="24"/>
              </w:rPr>
            </w:pPr>
            <w:r w:rsidRPr="0076262A">
              <w:rPr>
                <w:rFonts w:eastAsia="Arial Unicode MS"/>
                <w:bCs/>
                <w:sz w:val="24"/>
                <w:szCs w:val="24"/>
              </w:rPr>
              <w:t>6º</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E1CEA" w:rsidRPr="0076262A" w:rsidRDefault="008E1CEA" w:rsidP="0076262A">
            <w:pPr>
              <w:autoSpaceDE w:val="0"/>
              <w:autoSpaceDN w:val="0"/>
              <w:adjustRightInd w:val="0"/>
              <w:jc w:val="center"/>
              <w:rPr>
                <w:rFonts w:eastAsiaTheme="minorHAnsi"/>
                <w:color w:val="000000"/>
                <w:sz w:val="24"/>
                <w:szCs w:val="24"/>
                <w:lang w:eastAsia="en-US"/>
              </w:rPr>
            </w:pPr>
          </w:p>
          <w:tbl>
            <w:tblPr>
              <w:tblW w:w="0" w:type="auto"/>
              <w:tblBorders>
                <w:top w:val="nil"/>
                <w:left w:val="nil"/>
                <w:bottom w:val="nil"/>
                <w:right w:val="nil"/>
              </w:tblBorders>
              <w:tblLayout w:type="fixed"/>
              <w:tblLook w:val="0000" w:firstRow="0" w:lastRow="0" w:firstColumn="0" w:lastColumn="0" w:noHBand="0" w:noVBand="0"/>
            </w:tblPr>
            <w:tblGrid>
              <w:gridCol w:w="6915"/>
            </w:tblGrid>
            <w:tr w:rsidR="008E1CEA" w:rsidRPr="0076262A">
              <w:trPr>
                <w:trHeight w:val="211"/>
              </w:trPr>
              <w:tc>
                <w:tcPr>
                  <w:tcW w:w="6915" w:type="dxa"/>
                </w:tcPr>
                <w:p w:rsidR="008E1CEA" w:rsidRPr="0076262A" w:rsidRDefault="008E1CEA" w:rsidP="0076262A">
                  <w:pPr>
                    <w:autoSpaceDE w:val="0"/>
                    <w:autoSpaceDN w:val="0"/>
                    <w:adjustRightInd w:val="0"/>
                    <w:jc w:val="center"/>
                    <w:rPr>
                      <w:rFonts w:eastAsiaTheme="minorHAnsi"/>
                      <w:color w:val="000000"/>
                      <w:sz w:val="24"/>
                      <w:szCs w:val="24"/>
                      <w:lang w:eastAsia="en-US"/>
                    </w:rPr>
                  </w:pPr>
                  <w:r w:rsidRPr="0076262A">
                    <w:rPr>
                      <w:rFonts w:eastAsiaTheme="minorHAnsi"/>
                      <w:color w:val="000000"/>
                      <w:sz w:val="24"/>
                      <w:szCs w:val="24"/>
                      <w:lang w:eastAsia="en-US"/>
                    </w:rPr>
                    <w:t>Inclusão da medição da destilação atmosférica de produtos destilados de petróleo segundo a ASTM D7345</w:t>
                  </w:r>
                </w:p>
              </w:tc>
            </w:tr>
          </w:tbl>
          <w:p w:rsidR="00687985" w:rsidRPr="0076262A" w:rsidRDefault="00687985" w:rsidP="0076262A">
            <w:pPr>
              <w:jc w:val="center"/>
              <w:rPr>
                <w:rFonts w:eastAsia="Arial Unicode MS"/>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E1CEA" w:rsidRPr="0076262A" w:rsidRDefault="008E1CEA" w:rsidP="0076262A">
            <w:pPr>
              <w:autoSpaceDE w:val="0"/>
              <w:autoSpaceDN w:val="0"/>
              <w:adjustRightInd w:val="0"/>
              <w:jc w:val="center"/>
              <w:rPr>
                <w:rFonts w:eastAsiaTheme="minorHAnsi"/>
                <w:color w:val="000000"/>
                <w:sz w:val="24"/>
                <w:szCs w:val="24"/>
                <w:lang w:eastAsia="en-US"/>
              </w:rPr>
            </w:pPr>
          </w:p>
          <w:tbl>
            <w:tblPr>
              <w:tblW w:w="5641" w:type="dxa"/>
              <w:tblBorders>
                <w:top w:val="nil"/>
                <w:left w:val="nil"/>
                <w:bottom w:val="nil"/>
                <w:right w:val="nil"/>
              </w:tblBorders>
              <w:tblLayout w:type="fixed"/>
              <w:tblLook w:val="0000" w:firstRow="0" w:lastRow="0" w:firstColumn="0" w:lastColumn="0" w:noHBand="0" w:noVBand="0"/>
            </w:tblPr>
            <w:tblGrid>
              <w:gridCol w:w="5641"/>
            </w:tblGrid>
            <w:tr w:rsidR="008E1CEA" w:rsidRPr="0076262A" w:rsidTr="008E1CEA">
              <w:trPr>
                <w:trHeight w:val="788"/>
              </w:trPr>
              <w:tc>
                <w:tcPr>
                  <w:tcW w:w="5641" w:type="dxa"/>
                </w:tcPr>
                <w:p w:rsidR="008E1CEA" w:rsidRPr="0076262A" w:rsidRDefault="008E1CEA" w:rsidP="0076262A">
                  <w:pPr>
                    <w:autoSpaceDE w:val="0"/>
                    <w:autoSpaceDN w:val="0"/>
                    <w:adjustRightInd w:val="0"/>
                    <w:jc w:val="center"/>
                    <w:rPr>
                      <w:rFonts w:eastAsiaTheme="minorHAnsi"/>
                      <w:color w:val="000000"/>
                      <w:sz w:val="24"/>
                      <w:szCs w:val="24"/>
                      <w:lang w:eastAsia="en-US"/>
                    </w:rPr>
                  </w:pPr>
                  <w:r w:rsidRPr="0076262A">
                    <w:rPr>
                      <w:rFonts w:eastAsiaTheme="minorHAnsi"/>
                      <w:color w:val="000000"/>
                      <w:sz w:val="24"/>
                      <w:szCs w:val="24"/>
                      <w:lang w:eastAsia="en-US"/>
                    </w:rPr>
                    <w:t>A ASTM D7345 já é utilizada internacionalmente para a medição da destilação atmosférica como alternativa à ASTM D86. Essa metodologia está presente nas resoluções internacionais ASTM D975 para a medição em diesel. Esta metodologia oferece aumento de produtividade sem perder em precisão. Utilizando apenas 10mL de amostra, reportando toda a curva de destilação em 10 minutos ao invés do uso de</w:t>
                  </w:r>
                </w:p>
              </w:tc>
            </w:tr>
          </w:tbl>
          <w:p w:rsidR="008E1CEA" w:rsidRPr="0076262A" w:rsidRDefault="008E1CEA" w:rsidP="0076262A">
            <w:pPr>
              <w:pStyle w:val="Default"/>
              <w:jc w:val="center"/>
              <w:rPr>
                <w:rFonts w:ascii="Times New Roman" w:hAnsi="Times New Roman" w:cs="Times New Roman"/>
              </w:rPr>
            </w:pPr>
            <w:r w:rsidRPr="0076262A">
              <w:rPr>
                <w:rFonts w:ascii="Times New Roman" w:hAnsi="Times New Roman" w:cs="Times New Roman"/>
              </w:rPr>
              <w:t>100mL e duração de 40 minutos.</w:t>
            </w:r>
          </w:p>
          <w:p w:rsidR="00687985" w:rsidRPr="0076262A" w:rsidRDefault="00687985" w:rsidP="0076262A">
            <w:pPr>
              <w:spacing w:before="60"/>
              <w:jc w:val="center"/>
              <w:rPr>
                <w:rFonts w:eastAsia="Arial Unicode MS"/>
                <w:sz w:val="24"/>
                <w:szCs w:val="24"/>
              </w:rPr>
            </w:pPr>
          </w:p>
        </w:tc>
      </w:tr>
      <w:tr w:rsidR="00FE3463" w:rsidRPr="00936494" w:rsidTr="00FE3463">
        <w:trPr>
          <w:trHeight w:val="900"/>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687985" w:rsidRPr="0076262A" w:rsidRDefault="008E1CEA" w:rsidP="0076262A">
            <w:pPr>
              <w:spacing w:before="120" w:after="120"/>
              <w:jc w:val="center"/>
              <w:rPr>
                <w:sz w:val="24"/>
                <w:szCs w:val="24"/>
              </w:rPr>
            </w:pPr>
            <w:r w:rsidRPr="0076262A">
              <w:rPr>
                <w:sz w:val="24"/>
                <w:szCs w:val="24"/>
              </w:rPr>
              <w:t>Pensalab</w:t>
            </w:r>
          </w:p>
        </w:tc>
        <w:tc>
          <w:tcPr>
            <w:tcW w:w="1198"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vAlign w:val="center"/>
          </w:tcPr>
          <w:p w:rsidR="00687985" w:rsidRPr="0076262A" w:rsidRDefault="008E1CEA" w:rsidP="0076262A">
            <w:pPr>
              <w:jc w:val="center"/>
              <w:rPr>
                <w:rFonts w:eastAsia="Arial Unicode MS"/>
                <w:bCs/>
                <w:sz w:val="24"/>
                <w:szCs w:val="24"/>
              </w:rPr>
            </w:pPr>
            <w:r w:rsidRPr="0076262A">
              <w:rPr>
                <w:rFonts w:eastAsia="Arial Unicode MS"/>
                <w:bCs/>
                <w:sz w:val="24"/>
                <w:szCs w:val="24"/>
              </w:rPr>
              <w:t>6º</w:t>
            </w:r>
          </w:p>
        </w:tc>
        <w:tc>
          <w:tcPr>
            <w:tcW w:w="716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tbl>
            <w:tblPr>
              <w:tblW w:w="0" w:type="auto"/>
              <w:tblBorders>
                <w:top w:val="nil"/>
                <w:left w:val="nil"/>
                <w:bottom w:val="nil"/>
                <w:right w:val="nil"/>
              </w:tblBorders>
              <w:tblLayout w:type="fixed"/>
              <w:tblLook w:val="0000" w:firstRow="0" w:lastRow="0" w:firstColumn="0" w:lastColumn="0" w:noHBand="0" w:noVBand="0"/>
            </w:tblPr>
            <w:tblGrid>
              <w:gridCol w:w="3539"/>
              <w:gridCol w:w="3539"/>
            </w:tblGrid>
            <w:tr w:rsidR="008E1CEA" w:rsidRPr="0076262A">
              <w:trPr>
                <w:trHeight w:val="439"/>
              </w:trPr>
              <w:tc>
                <w:tcPr>
                  <w:tcW w:w="3539" w:type="dxa"/>
                </w:tcPr>
                <w:p w:rsidR="008E1CEA" w:rsidRPr="0076262A" w:rsidRDefault="008E1CEA" w:rsidP="0076262A">
                  <w:pPr>
                    <w:autoSpaceDE w:val="0"/>
                    <w:autoSpaceDN w:val="0"/>
                    <w:adjustRightInd w:val="0"/>
                    <w:jc w:val="center"/>
                    <w:rPr>
                      <w:rFonts w:eastAsiaTheme="minorHAnsi"/>
                      <w:color w:val="000000"/>
                      <w:sz w:val="24"/>
                      <w:szCs w:val="24"/>
                      <w:lang w:eastAsia="en-US"/>
                    </w:rPr>
                  </w:pPr>
                  <w:r w:rsidRPr="0076262A">
                    <w:rPr>
                      <w:rFonts w:eastAsiaTheme="minorHAnsi"/>
                      <w:color w:val="000000"/>
                      <w:sz w:val="24"/>
                      <w:szCs w:val="24"/>
                      <w:lang w:eastAsia="en-US"/>
                    </w:rPr>
                    <w:t>Inclusão da medição de viscosidade segundo a ASTM D7279</w:t>
                  </w:r>
                </w:p>
              </w:tc>
              <w:tc>
                <w:tcPr>
                  <w:tcW w:w="3539" w:type="dxa"/>
                </w:tcPr>
                <w:p w:rsidR="008E1CEA" w:rsidRPr="0076262A" w:rsidRDefault="008E1CEA" w:rsidP="0076262A">
                  <w:pPr>
                    <w:autoSpaceDE w:val="0"/>
                    <w:autoSpaceDN w:val="0"/>
                    <w:adjustRightInd w:val="0"/>
                    <w:jc w:val="center"/>
                    <w:rPr>
                      <w:rFonts w:eastAsiaTheme="minorHAnsi"/>
                      <w:color w:val="000000"/>
                      <w:sz w:val="24"/>
                      <w:szCs w:val="24"/>
                      <w:lang w:eastAsia="en-US"/>
                    </w:rPr>
                  </w:pPr>
                </w:p>
              </w:tc>
            </w:tr>
          </w:tbl>
          <w:p w:rsidR="00687985" w:rsidRPr="0076262A" w:rsidRDefault="00687985" w:rsidP="0076262A">
            <w:pPr>
              <w:jc w:val="center"/>
              <w:rPr>
                <w:rFonts w:eastAsia="Arial Unicode MS"/>
                <w:sz w:val="24"/>
                <w:szCs w:val="24"/>
              </w:rPr>
            </w:pPr>
          </w:p>
        </w:tc>
        <w:tc>
          <w:tcPr>
            <w:tcW w:w="5605" w:type="dxa"/>
            <w:tcBorders>
              <w:top w:val="single" w:sz="4" w:space="0" w:color="auto"/>
              <w:left w:val="nil"/>
              <w:bottom w:val="single" w:sz="4" w:space="0" w:color="auto"/>
              <w:right w:val="single" w:sz="4" w:space="0" w:color="auto"/>
            </w:tcBorders>
            <w:shd w:val="clear" w:color="auto" w:fill="FFFFFF"/>
            <w:tcMar>
              <w:top w:w="20" w:type="dxa"/>
              <w:left w:w="20" w:type="dxa"/>
              <w:bottom w:w="0" w:type="dxa"/>
              <w:right w:w="20" w:type="dxa"/>
            </w:tcMar>
            <w:vAlign w:val="center"/>
          </w:tcPr>
          <w:p w:rsidR="008E1CEA" w:rsidRPr="0076262A" w:rsidRDefault="008E1CEA" w:rsidP="0076262A">
            <w:pPr>
              <w:pStyle w:val="Default"/>
              <w:jc w:val="center"/>
              <w:rPr>
                <w:rFonts w:ascii="Times New Roman" w:hAnsi="Times New Roman" w:cs="Times New Roman"/>
              </w:rPr>
            </w:pPr>
            <w:r w:rsidRPr="0076262A">
              <w:rPr>
                <w:rFonts w:ascii="Times New Roman" w:hAnsi="Times New Roman" w:cs="Times New Roman"/>
              </w:rPr>
              <w:t xml:space="preserve">A ASTM D7279 oferece uma alternativa a ASTM D445, sendo mais rápida e utilizando menos amostra. Esta metodologia já vem sendo utilizada internacionalmente para acompanhamento da viscosidade de diesel, mistura de biodiesel em diesel, biodiesel e lubrificantes. Estudos interlaboratoriais mostram boa correlação com a </w:t>
            </w:r>
            <w:r w:rsidRPr="0076262A">
              <w:rPr>
                <w:rFonts w:ascii="Times New Roman" w:hAnsi="Times New Roman" w:cs="Times New Roman"/>
              </w:rPr>
              <w:lastRenderedPageBreak/>
              <w:t>metodologia vigente, garantindo resultados confiáveis em menor tempo.</w:t>
            </w:r>
          </w:p>
          <w:p w:rsidR="00687985" w:rsidRPr="0076262A" w:rsidRDefault="00687985" w:rsidP="0076262A">
            <w:pPr>
              <w:spacing w:before="60"/>
              <w:jc w:val="center"/>
              <w:rPr>
                <w:sz w:val="24"/>
                <w:szCs w:val="24"/>
              </w:rPr>
            </w:pPr>
          </w:p>
        </w:tc>
      </w:tr>
    </w:tbl>
    <w:p w:rsidR="00851F06" w:rsidRPr="00936494" w:rsidRDefault="00851F06" w:rsidP="00F1009B"/>
    <w:sectPr w:rsidR="00851F06" w:rsidRPr="00936494" w:rsidSect="001B64E0">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E62F87"/>
    <w:multiLevelType w:val="hybridMultilevel"/>
    <w:tmpl w:val="25EC46A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5926962"/>
    <w:multiLevelType w:val="hybridMultilevel"/>
    <w:tmpl w:val="543E2A00"/>
    <w:lvl w:ilvl="0" w:tplc="04160019">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F06"/>
    <w:rsid w:val="0006620A"/>
    <w:rsid w:val="000C2F99"/>
    <w:rsid w:val="001B64E0"/>
    <w:rsid w:val="00256D7E"/>
    <w:rsid w:val="002E676F"/>
    <w:rsid w:val="0031482E"/>
    <w:rsid w:val="003335AF"/>
    <w:rsid w:val="003A576A"/>
    <w:rsid w:val="003C34D9"/>
    <w:rsid w:val="003D1444"/>
    <w:rsid w:val="00416498"/>
    <w:rsid w:val="00464673"/>
    <w:rsid w:val="0057111F"/>
    <w:rsid w:val="00687985"/>
    <w:rsid w:val="0076262A"/>
    <w:rsid w:val="0078716E"/>
    <w:rsid w:val="00851F06"/>
    <w:rsid w:val="00892A96"/>
    <w:rsid w:val="0089589D"/>
    <w:rsid w:val="008D6F4E"/>
    <w:rsid w:val="008E1CEA"/>
    <w:rsid w:val="00936494"/>
    <w:rsid w:val="009C3F12"/>
    <w:rsid w:val="009F26E2"/>
    <w:rsid w:val="00A15AC2"/>
    <w:rsid w:val="00A35C87"/>
    <w:rsid w:val="00A7399C"/>
    <w:rsid w:val="00BD7779"/>
    <w:rsid w:val="00BF5C76"/>
    <w:rsid w:val="00CC4DA8"/>
    <w:rsid w:val="00D223CE"/>
    <w:rsid w:val="00D321B1"/>
    <w:rsid w:val="00D570C5"/>
    <w:rsid w:val="00F1009B"/>
    <w:rsid w:val="00F724DA"/>
    <w:rsid w:val="00F84F6D"/>
    <w:rsid w:val="00FE3463"/>
    <w:rsid w:val="00FF7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18911FC-871B-4886-A868-CB4450347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B64E0"/>
    <w:pPr>
      <w:spacing w:after="0" w:line="240" w:lineRule="auto"/>
    </w:pPr>
    <w:rPr>
      <w:rFonts w:ascii="Times New Roman" w:eastAsia="Times New Roman" w:hAnsi="Times New Roman" w:cs="Times New Roman"/>
      <w:sz w:val="20"/>
      <w:szCs w:val="20"/>
      <w:lang w:val="pt-BR"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64E0"/>
    <w:pPr>
      <w:autoSpaceDE w:val="0"/>
      <w:autoSpaceDN w:val="0"/>
      <w:adjustRightInd w:val="0"/>
      <w:spacing w:after="0" w:line="240" w:lineRule="auto"/>
    </w:pPr>
    <w:rPr>
      <w:rFonts w:ascii="Arial" w:eastAsia="Times New Roman" w:hAnsi="Arial" w:cs="Arial"/>
      <w:color w:val="000000"/>
      <w:sz w:val="24"/>
      <w:szCs w:val="24"/>
      <w:lang w:val="pt-BR" w:eastAsia="pt-BR"/>
    </w:rPr>
  </w:style>
  <w:style w:type="paragraph" w:styleId="ListParagraph">
    <w:name w:val="List Paragraph"/>
    <w:basedOn w:val="Normal"/>
    <w:uiPriority w:val="34"/>
    <w:qFormat/>
    <w:rsid w:val="00936494"/>
    <w:pPr>
      <w:ind w:left="720"/>
      <w:contextualSpacing/>
    </w:pPr>
  </w:style>
  <w:style w:type="paragraph" w:customStyle="1" w:styleId="Texto">
    <w:name w:val="Texto"/>
    <w:basedOn w:val="Normal"/>
    <w:autoRedefine/>
    <w:rsid w:val="00416498"/>
    <w:pPr>
      <w:tabs>
        <w:tab w:val="left" w:pos="720"/>
        <w:tab w:val="left" w:pos="1698"/>
        <w:tab w:val="left" w:pos="2304"/>
        <w:tab w:val="left" w:pos="2820"/>
        <w:tab w:val="left" w:pos="2880"/>
        <w:tab w:val="left" w:pos="3601"/>
        <w:tab w:val="left" w:pos="4322"/>
        <w:tab w:val="left" w:pos="5043"/>
        <w:tab w:val="left" w:pos="5761"/>
        <w:tab w:val="left" w:pos="6482"/>
        <w:tab w:val="left" w:pos="7203"/>
        <w:tab w:val="left" w:pos="7923"/>
        <w:tab w:val="left" w:pos="8641"/>
        <w:tab w:val="left" w:pos="9362"/>
        <w:tab w:val="left" w:pos="10083"/>
        <w:tab w:val="left" w:pos="10801"/>
        <w:tab w:val="left" w:pos="11522"/>
        <w:tab w:val="left" w:pos="12243"/>
        <w:tab w:val="left" w:pos="12964"/>
        <w:tab w:val="left" w:pos="13682"/>
        <w:tab w:val="left" w:pos="14403"/>
        <w:tab w:val="left" w:pos="15123"/>
        <w:tab w:val="left" w:pos="15844"/>
        <w:tab w:val="left" w:pos="16562"/>
        <w:tab w:val="left" w:pos="17283"/>
        <w:tab w:val="left" w:pos="18004"/>
        <w:tab w:val="left" w:pos="18722"/>
        <w:tab w:val="left" w:pos="19443"/>
        <w:tab w:val="left" w:pos="20164"/>
        <w:tab w:val="left" w:pos="20885"/>
      </w:tabs>
      <w:suppressAutoHyphens/>
      <w:spacing w:before="81" w:after="40"/>
      <w:ind w:firstLine="564"/>
      <w:jc w:val="both"/>
    </w:pPr>
    <w:rPr>
      <w:rFonts w:ascii="Arial" w:hAnsi="Arial" w:cs="Arial"/>
      <w:sz w:val="22"/>
      <w:szCs w:val="22"/>
    </w:rPr>
  </w:style>
  <w:style w:type="paragraph" w:styleId="NormalWeb">
    <w:name w:val="Normal (Web)"/>
    <w:basedOn w:val="Normal"/>
    <w:uiPriority w:val="99"/>
    <w:unhideWhenUsed/>
    <w:rsid w:val="00D570C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F3B59-676F-4768-ACD8-71BE0BCD3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3938</Words>
  <Characters>20443</Characters>
  <Application>Microsoft Office Word</Application>
  <DocSecurity>0</DocSecurity>
  <Lines>319</Lines>
  <Paragraphs>104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eneves</dc:creator>
  <cp:keywords/>
  <dc:description/>
  <cp:lastModifiedBy>novaCana BiodieselBR</cp:lastModifiedBy>
  <cp:revision>2</cp:revision>
  <dcterms:created xsi:type="dcterms:W3CDTF">2016-03-30T14:11:00Z</dcterms:created>
  <dcterms:modified xsi:type="dcterms:W3CDTF">2016-03-30T14:11:00Z</dcterms:modified>
</cp:coreProperties>
</file>